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0F28DB">
        <w:rPr>
          <w:rFonts w:ascii="Palatino Linotype" w:eastAsia="Calibri" w:hAnsi="Palatino Linotype" w:cs="Arial"/>
          <w:b/>
          <w:sz w:val="24"/>
          <w:szCs w:val="24"/>
        </w:rPr>
        <w:t xml:space="preserve"> </w:t>
      </w:r>
      <w:r w:rsidR="000F28DB" w:rsidRPr="000D2301">
        <w:rPr>
          <w:rFonts w:ascii="Palatino Linotype" w:hAnsi="Palatino Linotype" w:cs="Tahoma"/>
          <w:b/>
          <w:bCs/>
          <w:color w:val="0D0D0D" w:themeColor="text1" w:themeTint="F2"/>
        </w:rPr>
        <w:t>03976/INFOEM/IP/RR/2018 y 04050/INFOEM/IP/RR/2018</w:t>
      </w:r>
      <w:r w:rsidR="000F28DB">
        <w:rPr>
          <w:rFonts w:ascii="Palatino Linotype" w:hAnsi="Palatino Linotype" w:cs="Tahoma"/>
          <w:b/>
          <w:bCs/>
          <w:color w:val="0D0D0D" w:themeColor="text1" w:themeTint="F2"/>
        </w:rPr>
        <w:t>.</w:t>
      </w:r>
      <w:r w:rsidR="00EF3EA6">
        <w:rPr>
          <w:rFonts w:ascii="Palatino Linotype" w:eastAsia="Calibri" w:hAnsi="Palatino Linotype" w:cs="Arial"/>
          <w:b/>
          <w:sz w:val="24"/>
          <w:szCs w:val="24"/>
        </w:rPr>
        <w:t xml:space="preserve"> </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817D08" w:rsidRPr="00817D08" w:rsidRDefault="00E6179D">
          <w:pPr>
            <w:pStyle w:val="TDC1"/>
            <w:rPr>
              <w:rFonts w:eastAsiaTheme="minorEastAsia"/>
              <w:b w:val="0"/>
              <w:sz w:val="24"/>
              <w:szCs w:val="24"/>
              <w:lang w:eastAsia="es-MX"/>
            </w:rPr>
          </w:pPr>
          <w:r w:rsidRPr="00817D08">
            <w:rPr>
              <w:sz w:val="24"/>
              <w:szCs w:val="24"/>
            </w:rPr>
            <w:fldChar w:fldCharType="begin"/>
          </w:r>
          <w:r w:rsidRPr="00817D08">
            <w:rPr>
              <w:sz w:val="24"/>
              <w:szCs w:val="24"/>
            </w:rPr>
            <w:instrText xml:space="preserve"> TOC \o "1-3" \h \z \u </w:instrText>
          </w:r>
          <w:r w:rsidRPr="00817D08">
            <w:rPr>
              <w:sz w:val="24"/>
              <w:szCs w:val="24"/>
            </w:rPr>
            <w:fldChar w:fldCharType="separate"/>
          </w:r>
          <w:hyperlink w:anchor="_Toc535154355" w:history="1">
            <w:r w:rsidR="00817D08" w:rsidRPr="00817D08">
              <w:rPr>
                <w:rStyle w:val="Hipervnculo"/>
                <w:rFonts w:eastAsia="Times New Roman"/>
                <w:sz w:val="24"/>
                <w:szCs w:val="24"/>
              </w:rPr>
              <w:t>I.</w:t>
            </w:r>
            <w:r w:rsidR="00817D08" w:rsidRPr="00817D08">
              <w:rPr>
                <w:rFonts w:eastAsiaTheme="minorEastAsia"/>
                <w:b w:val="0"/>
                <w:sz w:val="24"/>
                <w:szCs w:val="24"/>
                <w:lang w:eastAsia="es-MX"/>
              </w:rPr>
              <w:tab/>
            </w:r>
            <w:r w:rsidR="00817D08" w:rsidRPr="00817D08">
              <w:rPr>
                <w:rStyle w:val="Hipervnculo"/>
                <w:rFonts w:eastAsia="Times New Roman"/>
                <w:sz w:val="24"/>
                <w:szCs w:val="24"/>
              </w:rPr>
              <w:t>Consideraciones Generales</w:t>
            </w:r>
            <w:r w:rsidR="00817D08" w:rsidRPr="00817D08">
              <w:rPr>
                <w:webHidden/>
                <w:sz w:val="24"/>
                <w:szCs w:val="24"/>
              </w:rPr>
              <w:tab/>
            </w:r>
            <w:r w:rsidR="00817D08" w:rsidRPr="00817D08">
              <w:rPr>
                <w:webHidden/>
                <w:sz w:val="24"/>
                <w:szCs w:val="24"/>
              </w:rPr>
              <w:fldChar w:fldCharType="begin"/>
            </w:r>
            <w:r w:rsidR="00817D08" w:rsidRPr="00817D08">
              <w:rPr>
                <w:webHidden/>
                <w:sz w:val="24"/>
                <w:szCs w:val="24"/>
              </w:rPr>
              <w:instrText xml:space="preserve"> PAGEREF _Toc535154355 \h </w:instrText>
            </w:r>
            <w:r w:rsidR="00817D08" w:rsidRPr="00817D08">
              <w:rPr>
                <w:webHidden/>
                <w:sz w:val="24"/>
                <w:szCs w:val="24"/>
              </w:rPr>
            </w:r>
            <w:r w:rsidR="00817D08" w:rsidRPr="00817D08">
              <w:rPr>
                <w:webHidden/>
                <w:sz w:val="24"/>
                <w:szCs w:val="24"/>
              </w:rPr>
              <w:fldChar w:fldCharType="separate"/>
            </w:r>
            <w:r w:rsidR="00817D08" w:rsidRPr="00817D08">
              <w:rPr>
                <w:webHidden/>
                <w:sz w:val="24"/>
                <w:szCs w:val="24"/>
              </w:rPr>
              <w:t>1</w:t>
            </w:r>
            <w:r w:rsidR="00817D08" w:rsidRPr="00817D08">
              <w:rPr>
                <w:webHidden/>
                <w:sz w:val="24"/>
                <w:szCs w:val="24"/>
              </w:rPr>
              <w:fldChar w:fldCharType="end"/>
            </w:r>
          </w:hyperlink>
        </w:p>
        <w:p w:rsidR="00817D08" w:rsidRPr="00817D08" w:rsidRDefault="00AC1C08">
          <w:pPr>
            <w:pStyle w:val="TDC1"/>
            <w:rPr>
              <w:rFonts w:eastAsiaTheme="minorEastAsia"/>
              <w:b w:val="0"/>
              <w:sz w:val="24"/>
              <w:szCs w:val="24"/>
              <w:lang w:eastAsia="es-MX"/>
            </w:rPr>
          </w:pPr>
          <w:hyperlink w:anchor="_Toc535154356" w:history="1">
            <w:r w:rsidR="00817D08" w:rsidRPr="00817D08">
              <w:rPr>
                <w:rStyle w:val="Hipervnculo"/>
                <w:rFonts w:eastAsia="Calibri"/>
                <w:sz w:val="24"/>
                <w:szCs w:val="24"/>
                <w:lang w:val="es-ES"/>
              </w:rPr>
              <w:t>II.</w:t>
            </w:r>
            <w:r w:rsidR="00817D08" w:rsidRPr="00817D08">
              <w:rPr>
                <w:rFonts w:eastAsiaTheme="minorEastAsia"/>
                <w:b w:val="0"/>
                <w:sz w:val="24"/>
                <w:szCs w:val="24"/>
                <w:lang w:eastAsia="es-MX"/>
              </w:rPr>
              <w:tab/>
            </w:r>
            <w:r w:rsidR="00817D08" w:rsidRPr="00817D08">
              <w:rPr>
                <w:rStyle w:val="Hipervnculo"/>
                <w:rFonts w:eastAsia="Calibri"/>
                <w:sz w:val="24"/>
                <w:szCs w:val="24"/>
                <w:lang w:val="es-ES"/>
              </w:rPr>
              <w:t>De los requerimientos planteados en el recurso de revisión.</w:t>
            </w:r>
            <w:r w:rsidR="00817D08" w:rsidRPr="00817D08">
              <w:rPr>
                <w:webHidden/>
                <w:sz w:val="24"/>
                <w:szCs w:val="24"/>
              </w:rPr>
              <w:tab/>
            </w:r>
            <w:r w:rsidR="00817D08" w:rsidRPr="00817D08">
              <w:rPr>
                <w:webHidden/>
                <w:sz w:val="24"/>
                <w:szCs w:val="24"/>
              </w:rPr>
              <w:fldChar w:fldCharType="begin"/>
            </w:r>
            <w:r w:rsidR="00817D08" w:rsidRPr="00817D08">
              <w:rPr>
                <w:webHidden/>
                <w:sz w:val="24"/>
                <w:szCs w:val="24"/>
              </w:rPr>
              <w:instrText xml:space="preserve"> PAGEREF _Toc535154356 \h </w:instrText>
            </w:r>
            <w:r w:rsidR="00817D08" w:rsidRPr="00817D08">
              <w:rPr>
                <w:webHidden/>
                <w:sz w:val="24"/>
                <w:szCs w:val="24"/>
              </w:rPr>
            </w:r>
            <w:r w:rsidR="00817D08" w:rsidRPr="00817D08">
              <w:rPr>
                <w:webHidden/>
                <w:sz w:val="24"/>
                <w:szCs w:val="24"/>
              </w:rPr>
              <w:fldChar w:fldCharType="separate"/>
            </w:r>
            <w:r w:rsidR="00817D08" w:rsidRPr="00817D08">
              <w:rPr>
                <w:webHidden/>
                <w:sz w:val="24"/>
                <w:szCs w:val="24"/>
              </w:rPr>
              <w:t>2</w:t>
            </w:r>
            <w:r w:rsidR="00817D08" w:rsidRPr="00817D08">
              <w:rPr>
                <w:webHidden/>
                <w:sz w:val="24"/>
                <w:szCs w:val="24"/>
              </w:rPr>
              <w:fldChar w:fldCharType="end"/>
            </w:r>
          </w:hyperlink>
        </w:p>
        <w:p w:rsidR="00817D08" w:rsidRPr="00817D08" w:rsidRDefault="00AC1C08">
          <w:pPr>
            <w:pStyle w:val="TDC2"/>
            <w:rPr>
              <w:rFonts w:ascii="Palatino Linotype" w:eastAsiaTheme="minorEastAsia" w:hAnsi="Palatino Linotype"/>
              <w:noProof/>
              <w:sz w:val="24"/>
              <w:szCs w:val="24"/>
              <w:lang w:eastAsia="es-MX"/>
            </w:rPr>
          </w:pPr>
          <w:hyperlink w:anchor="_Toc535154357" w:history="1">
            <w:r w:rsidR="00817D08" w:rsidRPr="00817D08">
              <w:rPr>
                <w:rStyle w:val="Hipervnculo"/>
                <w:rFonts w:ascii="Palatino Linotype" w:hAnsi="Palatino Linotype"/>
                <w:b/>
                <w:noProof/>
                <w:sz w:val="24"/>
                <w:szCs w:val="24"/>
              </w:rPr>
              <w:t>III. Del Derecho de Acceso a la información pública y el deber de motivar.</w:t>
            </w:r>
            <w:r w:rsidR="00817D08" w:rsidRPr="00817D08">
              <w:rPr>
                <w:rFonts w:ascii="Palatino Linotype" w:hAnsi="Palatino Linotype"/>
                <w:noProof/>
                <w:webHidden/>
                <w:sz w:val="24"/>
                <w:szCs w:val="24"/>
              </w:rPr>
              <w:tab/>
            </w:r>
            <w:r w:rsidR="00817D08" w:rsidRPr="00817D08">
              <w:rPr>
                <w:rFonts w:ascii="Palatino Linotype" w:hAnsi="Palatino Linotype"/>
                <w:b/>
                <w:noProof/>
                <w:webHidden/>
                <w:sz w:val="24"/>
                <w:szCs w:val="24"/>
              </w:rPr>
              <w:fldChar w:fldCharType="begin"/>
            </w:r>
            <w:r w:rsidR="00817D08" w:rsidRPr="00817D08">
              <w:rPr>
                <w:rFonts w:ascii="Palatino Linotype" w:hAnsi="Palatino Linotype"/>
                <w:b/>
                <w:noProof/>
                <w:webHidden/>
                <w:sz w:val="24"/>
                <w:szCs w:val="24"/>
              </w:rPr>
              <w:instrText xml:space="preserve"> PAGEREF _Toc535154357 \h </w:instrText>
            </w:r>
            <w:r w:rsidR="00817D08" w:rsidRPr="00817D08">
              <w:rPr>
                <w:rFonts w:ascii="Palatino Linotype" w:hAnsi="Palatino Linotype"/>
                <w:b/>
                <w:noProof/>
                <w:webHidden/>
                <w:sz w:val="24"/>
                <w:szCs w:val="24"/>
              </w:rPr>
            </w:r>
            <w:r w:rsidR="00817D08" w:rsidRPr="00817D08">
              <w:rPr>
                <w:rFonts w:ascii="Palatino Linotype" w:hAnsi="Palatino Linotype"/>
                <w:b/>
                <w:noProof/>
                <w:webHidden/>
                <w:sz w:val="24"/>
                <w:szCs w:val="24"/>
              </w:rPr>
              <w:fldChar w:fldCharType="separate"/>
            </w:r>
            <w:r w:rsidR="00817D08" w:rsidRPr="00817D08">
              <w:rPr>
                <w:rFonts w:ascii="Palatino Linotype" w:hAnsi="Palatino Linotype"/>
                <w:b/>
                <w:noProof/>
                <w:webHidden/>
                <w:sz w:val="24"/>
                <w:szCs w:val="24"/>
              </w:rPr>
              <w:t>11</w:t>
            </w:r>
            <w:r w:rsidR="00817D08" w:rsidRPr="00817D08">
              <w:rPr>
                <w:rFonts w:ascii="Palatino Linotype" w:hAnsi="Palatino Linotype"/>
                <w:b/>
                <w:noProof/>
                <w:webHidden/>
                <w:sz w:val="24"/>
                <w:szCs w:val="24"/>
              </w:rPr>
              <w:fldChar w:fldCharType="end"/>
            </w:r>
          </w:hyperlink>
        </w:p>
        <w:p w:rsidR="00817D08" w:rsidRPr="00817D08" w:rsidRDefault="00AC1C08">
          <w:pPr>
            <w:pStyle w:val="TDC1"/>
            <w:rPr>
              <w:rFonts w:eastAsiaTheme="minorEastAsia"/>
              <w:b w:val="0"/>
              <w:sz w:val="24"/>
              <w:szCs w:val="24"/>
              <w:lang w:eastAsia="es-MX"/>
            </w:rPr>
          </w:pPr>
          <w:hyperlink w:anchor="_Toc535154358" w:history="1">
            <w:r w:rsidR="00817D08" w:rsidRPr="00817D08">
              <w:rPr>
                <w:rStyle w:val="Hipervnculo"/>
                <w:rFonts w:eastAsia="Calibri"/>
                <w:sz w:val="24"/>
                <w:szCs w:val="24"/>
              </w:rPr>
              <w:t>IV. Del Pronunciamiento simple</w:t>
            </w:r>
            <w:r w:rsidR="00817D08" w:rsidRPr="00817D08">
              <w:rPr>
                <w:webHidden/>
                <w:sz w:val="24"/>
                <w:szCs w:val="24"/>
              </w:rPr>
              <w:tab/>
            </w:r>
            <w:r w:rsidR="00817D08" w:rsidRPr="00817D08">
              <w:rPr>
                <w:webHidden/>
                <w:sz w:val="24"/>
                <w:szCs w:val="24"/>
              </w:rPr>
              <w:fldChar w:fldCharType="begin"/>
            </w:r>
            <w:r w:rsidR="00817D08" w:rsidRPr="00817D08">
              <w:rPr>
                <w:webHidden/>
                <w:sz w:val="24"/>
                <w:szCs w:val="24"/>
              </w:rPr>
              <w:instrText xml:space="preserve"> PAGEREF _Toc535154358 \h </w:instrText>
            </w:r>
            <w:r w:rsidR="00817D08" w:rsidRPr="00817D08">
              <w:rPr>
                <w:webHidden/>
                <w:sz w:val="24"/>
                <w:szCs w:val="24"/>
              </w:rPr>
            </w:r>
            <w:r w:rsidR="00817D08" w:rsidRPr="00817D08">
              <w:rPr>
                <w:webHidden/>
                <w:sz w:val="24"/>
                <w:szCs w:val="24"/>
              </w:rPr>
              <w:fldChar w:fldCharType="separate"/>
            </w:r>
            <w:r w:rsidR="00817D08" w:rsidRPr="00817D08">
              <w:rPr>
                <w:webHidden/>
                <w:sz w:val="24"/>
                <w:szCs w:val="24"/>
              </w:rPr>
              <w:t>16</w:t>
            </w:r>
            <w:r w:rsidR="00817D08" w:rsidRPr="00817D08">
              <w:rPr>
                <w:webHidden/>
                <w:sz w:val="24"/>
                <w:szCs w:val="24"/>
              </w:rPr>
              <w:fldChar w:fldCharType="end"/>
            </w:r>
          </w:hyperlink>
        </w:p>
        <w:p w:rsidR="00817D08" w:rsidRPr="00817D08" w:rsidRDefault="00AC1C08">
          <w:pPr>
            <w:pStyle w:val="TDC1"/>
            <w:rPr>
              <w:rFonts w:eastAsiaTheme="minorEastAsia"/>
              <w:b w:val="0"/>
              <w:sz w:val="24"/>
              <w:szCs w:val="24"/>
              <w:lang w:eastAsia="es-MX"/>
            </w:rPr>
          </w:pPr>
          <w:hyperlink w:anchor="_Toc535154359" w:history="1">
            <w:r w:rsidR="00817D08" w:rsidRPr="00817D08">
              <w:rPr>
                <w:rStyle w:val="Hipervnculo"/>
                <w:rFonts w:eastAsia="Calibri"/>
                <w:sz w:val="24"/>
                <w:szCs w:val="24"/>
              </w:rPr>
              <w:t>V. Conclusión.</w:t>
            </w:r>
            <w:r w:rsidR="00817D08" w:rsidRPr="00817D08">
              <w:rPr>
                <w:webHidden/>
                <w:sz w:val="24"/>
                <w:szCs w:val="24"/>
              </w:rPr>
              <w:tab/>
            </w:r>
            <w:r w:rsidR="00817D08" w:rsidRPr="00817D08">
              <w:rPr>
                <w:webHidden/>
                <w:sz w:val="24"/>
                <w:szCs w:val="24"/>
              </w:rPr>
              <w:fldChar w:fldCharType="begin"/>
            </w:r>
            <w:r w:rsidR="00817D08" w:rsidRPr="00817D08">
              <w:rPr>
                <w:webHidden/>
                <w:sz w:val="24"/>
                <w:szCs w:val="24"/>
              </w:rPr>
              <w:instrText xml:space="preserve"> PAGEREF _Toc535154359 \h </w:instrText>
            </w:r>
            <w:r w:rsidR="00817D08" w:rsidRPr="00817D08">
              <w:rPr>
                <w:webHidden/>
                <w:sz w:val="24"/>
                <w:szCs w:val="24"/>
              </w:rPr>
            </w:r>
            <w:r w:rsidR="00817D08" w:rsidRPr="00817D08">
              <w:rPr>
                <w:webHidden/>
                <w:sz w:val="24"/>
                <w:szCs w:val="24"/>
              </w:rPr>
              <w:fldChar w:fldCharType="separate"/>
            </w:r>
            <w:r w:rsidR="00817D08" w:rsidRPr="00817D08">
              <w:rPr>
                <w:webHidden/>
                <w:sz w:val="24"/>
                <w:szCs w:val="24"/>
              </w:rPr>
              <w:t>34</w:t>
            </w:r>
            <w:r w:rsidR="00817D08" w:rsidRPr="00817D08">
              <w:rPr>
                <w:webHidden/>
                <w:sz w:val="24"/>
                <w:szCs w:val="24"/>
              </w:rPr>
              <w:fldChar w:fldCharType="end"/>
            </w:r>
          </w:hyperlink>
        </w:p>
        <w:p w:rsidR="00E6179D" w:rsidRPr="00817D08" w:rsidRDefault="00E6179D" w:rsidP="00B73B30">
          <w:pPr>
            <w:spacing w:line="360" w:lineRule="auto"/>
            <w:rPr>
              <w:rFonts w:ascii="Palatino Linotype" w:hAnsi="Palatino Linotype"/>
              <w:sz w:val="24"/>
              <w:szCs w:val="24"/>
            </w:rPr>
          </w:pPr>
          <w:r w:rsidRPr="00817D08">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5154355"/>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44EAA">
        <w:rPr>
          <w:rFonts w:ascii="Palatino Linotype" w:eastAsia="Calibri" w:hAnsi="Palatino Linotype" w:cs="Arial"/>
          <w:sz w:val="24"/>
          <w:szCs w:val="24"/>
        </w:rPr>
        <w:t xml:space="preserve">Primera </w:t>
      </w:r>
      <w:r w:rsidRPr="00427B79">
        <w:rPr>
          <w:rFonts w:ascii="Palatino Linotype" w:eastAsia="Calibri" w:hAnsi="Palatino Linotype" w:cs="Arial"/>
          <w:sz w:val="24"/>
          <w:szCs w:val="24"/>
        </w:rPr>
        <w:t xml:space="preserve">Sesión </w:t>
      </w:r>
      <w:r w:rsidRPr="00427B79">
        <w:rPr>
          <w:rFonts w:ascii="Palatino Linotype" w:eastAsia="Calibri" w:hAnsi="Palatino Linotype" w:cs="Arial"/>
          <w:sz w:val="24"/>
          <w:szCs w:val="24"/>
        </w:rPr>
        <w:lastRenderedPageBreak/>
        <w:t xml:space="preserve">Ordinaria celebrada el </w:t>
      </w:r>
      <w:r w:rsidRPr="00F44EAA">
        <w:rPr>
          <w:rFonts w:ascii="Palatino Linotype" w:eastAsia="Calibri" w:hAnsi="Palatino Linotype" w:cs="Arial"/>
          <w:sz w:val="24"/>
          <w:szCs w:val="24"/>
        </w:rPr>
        <w:t xml:space="preserve">día </w:t>
      </w:r>
      <w:r w:rsidR="00F44EAA" w:rsidRPr="00F44EAA">
        <w:rPr>
          <w:rFonts w:ascii="Palatino Linotype" w:eastAsia="Calibri" w:hAnsi="Palatino Linotype" w:cs="Arial"/>
          <w:sz w:val="24"/>
          <w:szCs w:val="24"/>
        </w:rPr>
        <w:t>nueve</w:t>
      </w:r>
      <w:r w:rsidRPr="00F44EAA">
        <w:rPr>
          <w:rFonts w:ascii="Palatino Linotype" w:eastAsia="Calibri" w:hAnsi="Palatino Linotype" w:cs="Arial"/>
          <w:sz w:val="24"/>
          <w:szCs w:val="24"/>
        </w:rPr>
        <w:t xml:space="preserve"> (</w:t>
      </w:r>
      <w:r w:rsidR="00F44EAA" w:rsidRPr="00F44EAA">
        <w:rPr>
          <w:rFonts w:ascii="Palatino Linotype" w:eastAsia="Calibri" w:hAnsi="Palatino Linotype" w:cs="Arial"/>
          <w:sz w:val="24"/>
          <w:szCs w:val="24"/>
        </w:rPr>
        <w:t>09</w:t>
      </w:r>
      <w:r w:rsidRPr="00F44EAA">
        <w:rPr>
          <w:rFonts w:ascii="Palatino Linotype" w:eastAsia="Calibri" w:hAnsi="Palatino Linotype" w:cs="Arial"/>
          <w:sz w:val="24"/>
          <w:szCs w:val="24"/>
        </w:rPr>
        <w:t xml:space="preserve">) de </w:t>
      </w:r>
      <w:r w:rsidR="00F44EAA" w:rsidRPr="00F44EAA">
        <w:rPr>
          <w:rFonts w:ascii="Palatino Linotype" w:eastAsia="Calibri" w:hAnsi="Palatino Linotype" w:cs="Arial"/>
          <w:sz w:val="24"/>
          <w:szCs w:val="24"/>
        </w:rPr>
        <w:t>enero</w:t>
      </w:r>
      <w:r w:rsidR="008825D2" w:rsidRPr="00F44EAA">
        <w:rPr>
          <w:rFonts w:ascii="Palatino Linotype" w:eastAsia="Calibri" w:hAnsi="Palatino Linotype" w:cs="Arial"/>
          <w:sz w:val="24"/>
          <w:szCs w:val="24"/>
        </w:rPr>
        <w:t xml:space="preserve"> </w:t>
      </w:r>
      <w:r w:rsidRPr="00F44EAA">
        <w:rPr>
          <w:rFonts w:ascii="Palatino Linotype" w:eastAsia="Calibri" w:hAnsi="Palatino Linotype" w:cs="Arial"/>
          <w:sz w:val="24"/>
          <w:szCs w:val="24"/>
        </w:rPr>
        <w:t>de</w:t>
      </w:r>
      <w:r w:rsidR="001F0E58" w:rsidRPr="00F44EAA">
        <w:rPr>
          <w:rFonts w:ascii="Palatino Linotype" w:eastAsia="Calibri" w:hAnsi="Palatino Linotype" w:cs="Arial"/>
          <w:sz w:val="24"/>
          <w:szCs w:val="24"/>
        </w:rPr>
        <w:t>l</w:t>
      </w:r>
      <w:r w:rsidRPr="00F44EAA">
        <w:rPr>
          <w:rFonts w:ascii="Palatino Linotype" w:eastAsia="Calibri" w:hAnsi="Palatino Linotype" w:cs="Arial"/>
          <w:sz w:val="24"/>
          <w:szCs w:val="24"/>
        </w:rPr>
        <w:t xml:space="preserve"> </w:t>
      </w:r>
      <w:r w:rsidR="001F0E58" w:rsidRPr="00F44EAA">
        <w:rPr>
          <w:rFonts w:ascii="Palatino Linotype" w:eastAsia="Calibri" w:hAnsi="Palatino Linotype" w:cs="Arial"/>
          <w:sz w:val="24"/>
          <w:szCs w:val="24"/>
        </w:rPr>
        <w:t xml:space="preserve">dos mil </w:t>
      </w:r>
      <w:r w:rsidR="00F44EAA" w:rsidRPr="00F44EAA">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F44EAA" w:rsidRPr="00F44EAA">
        <w:rPr>
          <w:rFonts w:ascii="Palatino Linotype" w:hAnsi="Palatino Linotype" w:cs="Arial"/>
        </w:rPr>
        <w:t>el particular</w:t>
      </w:r>
      <w:r w:rsidR="00F44EAA" w:rsidRPr="00F44EAA">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w:t>
      </w:r>
      <w:r w:rsidR="0036141D" w:rsidRPr="00F44EAA">
        <w:rPr>
          <w:rFonts w:ascii="Palatino Linotype" w:eastAsia="Calibri" w:hAnsi="Palatino Linotype" w:cs="Arial"/>
          <w:sz w:val="24"/>
          <w:szCs w:val="24"/>
        </w:rPr>
        <w:t>de</w:t>
      </w:r>
      <w:r w:rsidR="00E10CF1" w:rsidRPr="00F44EAA">
        <w:rPr>
          <w:rFonts w:ascii="Palatino Linotype" w:eastAsia="Calibri" w:hAnsi="Palatino Linotype" w:cs="Arial"/>
          <w:sz w:val="24"/>
          <w:szCs w:val="24"/>
        </w:rPr>
        <w:t>l</w:t>
      </w:r>
      <w:r w:rsidR="00C66C13" w:rsidRPr="00F44EAA">
        <w:rPr>
          <w:rFonts w:ascii="Palatino Linotype" w:eastAsia="Calibri" w:hAnsi="Palatino Linotype" w:cs="Arial"/>
          <w:sz w:val="24"/>
          <w:szCs w:val="24"/>
        </w:rPr>
        <w:t xml:space="preserve"> </w:t>
      </w:r>
      <w:r w:rsidR="00E10CF1" w:rsidRPr="00F44EAA">
        <w:rPr>
          <w:rFonts w:ascii="Palatino Linotype" w:eastAsia="Calibri" w:hAnsi="Palatino Linotype" w:cs="Arial"/>
          <w:sz w:val="24"/>
          <w:szCs w:val="24"/>
        </w:rPr>
        <w:t xml:space="preserve"> </w:t>
      </w:r>
      <w:r w:rsidR="000F28DB" w:rsidRPr="000F28DB">
        <w:rPr>
          <w:rFonts w:ascii="Palatino Linotype" w:hAnsi="Palatino Linotype" w:cs="Tahoma"/>
          <w:b/>
          <w:bCs/>
          <w:color w:val="0D0D0D" w:themeColor="text1" w:themeTint="F2"/>
          <w:sz w:val="24"/>
          <w:szCs w:val="24"/>
        </w:rPr>
        <w:t>Ayuntamiento de Coatepec Harinas</w:t>
      </w:r>
      <w:r w:rsidR="00436541" w:rsidRPr="000F28DB">
        <w:rPr>
          <w:rFonts w:ascii="Palatino Linotype" w:hAnsi="Palatino Linotype" w:cs="Arial"/>
          <w:sz w:val="24"/>
          <w:szCs w:val="24"/>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0F28DB" w:rsidRPr="000D2301">
        <w:rPr>
          <w:rFonts w:ascii="Palatino Linotype" w:hAnsi="Palatino Linotype" w:cs="Tahoma"/>
          <w:b/>
          <w:bCs/>
          <w:color w:val="0D0D0D" w:themeColor="text1" w:themeTint="F2"/>
        </w:rPr>
        <w:t>03976/INFOEM/IP/RR/2018 y 04050/INFOEM/IP/RR/2018</w:t>
      </w:r>
      <w:r w:rsidR="000F28DB">
        <w:rPr>
          <w:rFonts w:ascii="Palatino Linotype" w:hAnsi="Palatino Linotype" w:cs="Tahoma"/>
          <w:b/>
          <w:bCs/>
          <w:color w:val="0D0D0D" w:themeColor="text1" w:themeTint="F2"/>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5F4E8B" w:rsidRDefault="005F4E8B" w:rsidP="005F4E8B">
      <w:pPr>
        <w:numPr>
          <w:ilvl w:val="0"/>
          <w:numId w:val="1"/>
        </w:numPr>
        <w:spacing w:after="0" w:line="360" w:lineRule="auto"/>
        <w:ind w:left="0" w:firstLine="0"/>
        <w:contextualSpacing/>
        <w:jc w:val="both"/>
        <w:rPr>
          <w:rFonts w:ascii="Palatino Linotype" w:eastAsia="Calibri" w:hAnsi="Palatino Linotype" w:cs="Arial"/>
          <w:sz w:val="24"/>
          <w:szCs w:val="24"/>
        </w:rPr>
      </w:pPr>
      <w:r w:rsidRPr="005F4E8B">
        <w:rPr>
          <w:rFonts w:ascii="Palatino Linotype" w:eastAsia="Calibri" w:hAnsi="Palatino Linotype" w:cs="Arial"/>
          <w:sz w:val="24"/>
          <w:szCs w:val="24"/>
        </w:rPr>
        <w:t xml:space="preserve">La resolución puntualmente determina </w:t>
      </w:r>
      <w:r w:rsidRPr="005F4E8B">
        <w:rPr>
          <w:rFonts w:ascii="Palatino Linotype" w:eastAsia="Calibri" w:hAnsi="Palatino Linotype" w:cs="Arial"/>
          <w:b/>
          <w:sz w:val="24"/>
          <w:szCs w:val="24"/>
        </w:rPr>
        <w:t>MODIFICAR</w:t>
      </w:r>
      <w:r w:rsidRPr="005F4E8B">
        <w:rPr>
          <w:rFonts w:ascii="Palatino Linotype" w:eastAsia="Calibri" w:hAnsi="Palatino Linotype" w:cs="Arial"/>
          <w:sz w:val="24"/>
          <w:szCs w:val="24"/>
        </w:rPr>
        <w:t xml:space="preserve"> el recurso de revisión, tomando en consideración la respuesta del Sujeto Obligado.</w:t>
      </w:r>
    </w:p>
    <w:p w:rsidR="00516AB8" w:rsidRPr="005F4E8B" w:rsidRDefault="00516AB8" w:rsidP="00516AB8">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35154356"/>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0F28DB" w:rsidRPr="00817D08" w:rsidRDefault="00E6179D" w:rsidP="0094029F">
      <w:pPr>
        <w:tabs>
          <w:tab w:val="left" w:pos="4667"/>
          <w:tab w:val="left" w:pos="8080"/>
        </w:tabs>
        <w:spacing w:line="360" w:lineRule="auto"/>
        <w:ind w:left="567" w:right="567"/>
        <w:jc w:val="both"/>
        <w:rPr>
          <w:rFonts w:ascii="Palatino Linotype" w:hAnsi="Palatino Linotype"/>
          <w:i/>
          <w:lang w:val="es-ES_tradnl"/>
        </w:rPr>
      </w:pPr>
      <w:r w:rsidRPr="00B21F85">
        <w:rPr>
          <w:rFonts w:ascii="Palatino Linotype" w:eastAsia="Calibri" w:hAnsi="Palatino Linotype" w:cs="Arial"/>
          <w:sz w:val="24"/>
          <w:szCs w:val="24"/>
          <w:lang w:val="es-ES"/>
        </w:rPr>
        <w:t xml:space="preserve">En </w:t>
      </w:r>
      <w:r w:rsidRPr="00B21F85">
        <w:rPr>
          <w:rFonts w:ascii="Palatino Linotype" w:eastAsia="Calibri" w:hAnsi="Palatino Linotype" w:cs="Times New Roman"/>
          <w:sz w:val="24"/>
          <w:szCs w:val="24"/>
        </w:rPr>
        <w:t>ejercicio del derecho constitucional que le asiste al particular, formuló una solicitu</w:t>
      </w:r>
      <w:r w:rsidR="003E0648" w:rsidRPr="00B21F85">
        <w:rPr>
          <w:rFonts w:ascii="Palatino Linotype" w:eastAsia="Calibri" w:hAnsi="Palatino Linotype" w:cs="Times New Roman"/>
          <w:sz w:val="24"/>
          <w:szCs w:val="24"/>
        </w:rPr>
        <w:t>d de información dirigida hacia</w:t>
      </w:r>
      <w:r w:rsidR="00497F7C" w:rsidRPr="00B21F85">
        <w:rPr>
          <w:rFonts w:ascii="Palatino Linotype" w:eastAsia="Calibri" w:hAnsi="Palatino Linotype" w:cs="Times New Roman"/>
          <w:sz w:val="24"/>
          <w:szCs w:val="24"/>
        </w:rPr>
        <w:t xml:space="preserve"> el</w:t>
      </w:r>
      <w:r w:rsidR="000F28DB" w:rsidRPr="000F28DB">
        <w:rPr>
          <w:rFonts w:ascii="Palatino Linotype" w:hAnsi="Palatino Linotype" w:cs="Tahoma"/>
          <w:b/>
          <w:bCs/>
          <w:color w:val="0D0D0D" w:themeColor="text1" w:themeTint="F2"/>
          <w:sz w:val="24"/>
          <w:szCs w:val="24"/>
        </w:rPr>
        <w:t xml:space="preserve"> Ayuntamiento de </w:t>
      </w:r>
      <w:r w:rsidR="000F28DB" w:rsidRPr="000F28DB">
        <w:rPr>
          <w:rFonts w:ascii="Palatino Linotype" w:hAnsi="Palatino Linotype" w:cs="Tahoma"/>
          <w:b/>
          <w:bCs/>
          <w:color w:val="0D0D0D" w:themeColor="text1" w:themeTint="F2"/>
          <w:sz w:val="24"/>
          <w:szCs w:val="24"/>
        </w:rPr>
        <w:lastRenderedPageBreak/>
        <w:t>Coatepec Harinas</w:t>
      </w:r>
      <w:r w:rsidR="000F28DB">
        <w:rPr>
          <w:rFonts w:ascii="Palatino Linotype" w:hAnsi="Palatino Linotype" w:cs="Arial"/>
          <w:sz w:val="24"/>
          <w:szCs w:val="24"/>
        </w:rPr>
        <w:t xml:space="preserve">, </w:t>
      </w:r>
      <w:r w:rsidR="00C752C4" w:rsidRPr="00F44EAA">
        <w:rPr>
          <w:rFonts w:ascii="Palatino Linotype" w:hAnsi="Palatino Linotype" w:cs="Arial"/>
        </w:rPr>
        <w:t xml:space="preserve"> </w:t>
      </w:r>
      <w:r w:rsidR="00466F4A" w:rsidRPr="00F44EAA">
        <w:rPr>
          <w:rFonts w:ascii="Palatino Linotype" w:eastAsia="Calibri" w:hAnsi="Palatino Linotype" w:cs="Times New Roman"/>
          <w:sz w:val="24"/>
          <w:szCs w:val="24"/>
        </w:rPr>
        <w:t>en dicha</w:t>
      </w:r>
      <w:r w:rsidR="005C0258" w:rsidRPr="00F44EAA">
        <w:rPr>
          <w:rFonts w:ascii="Palatino Linotype" w:eastAsia="Calibri" w:hAnsi="Palatino Linotype" w:cs="Times New Roman"/>
          <w:sz w:val="24"/>
          <w:szCs w:val="24"/>
        </w:rPr>
        <w:t xml:space="preserve"> solicitud planteó lo </w:t>
      </w:r>
      <w:r w:rsidRPr="00F44EAA">
        <w:rPr>
          <w:rFonts w:ascii="Palatino Linotype" w:eastAsia="Calibri" w:hAnsi="Palatino Linotype" w:cs="Times New Roman"/>
          <w:sz w:val="24"/>
          <w:szCs w:val="24"/>
        </w:rPr>
        <w:t>siguient</w:t>
      </w:r>
      <w:r w:rsidR="00480F5B" w:rsidRPr="00F44EAA">
        <w:rPr>
          <w:rFonts w:ascii="Palatino Linotype" w:eastAsia="Calibri" w:hAnsi="Palatino Linotype" w:cs="Times New Roman"/>
          <w:sz w:val="24"/>
          <w:szCs w:val="24"/>
        </w:rPr>
        <w:t>e</w:t>
      </w:r>
      <w:r w:rsidR="006262ED" w:rsidRPr="00F44EAA">
        <w:rPr>
          <w:rFonts w:ascii="Palatino Linotype" w:eastAsia="Calibri" w:hAnsi="Palatino Linotype" w:cs="Times New Roman"/>
          <w:sz w:val="24"/>
          <w:szCs w:val="24"/>
        </w:rPr>
        <w:t>:</w:t>
      </w:r>
      <w:r w:rsidR="006F081D" w:rsidRPr="00F44EAA">
        <w:rPr>
          <w:rFonts w:ascii="Palatino Linotype" w:hAnsi="Palatino Linotype"/>
          <w:i/>
          <w:lang w:val="es-ES_tradnl"/>
        </w:rPr>
        <w:t xml:space="preserve"> </w:t>
      </w:r>
      <w:r w:rsidR="000F28DB" w:rsidRPr="000F28DB">
        <w:rPr>
          <w:rFonts w:ascii="Palatino Linotype" w:hAnsi="Palatino Linotype" w:cs="Tahoma"/>
          <w:b/>
          <w:bCs/>
          <w:sz w:val="24"/>
          <w:szCs w:val="24"/>
        </w:rPr>
        <w:t>DESCRIPCIÓN CLARA Y PRECISA DE LA INFORMACIÓN SOLICITADA</w:t>
      </w:r>
    </w:p>
    <w:p w:rsidR="000F28DB" w:rsidRPr="000F28DB" w:rsidRDefault="000F28DB" w:rsidP="0094029F">
      <w:pPr>
        <w:tabs>
          <w:tab w:val="left" w:pos="4667"/>
        </w:tabs>
        <w:spacing w:line="360" w:lineRule="auto"/>
        <w:ind w:left="567" w:right="567"/>
        <w:jc w:val="both"/>
        <w:rPr>
          <w:rFonts w:ascii="Palatino Linotype" w:hAnsi="Palatino Linotype" w:cs="Tahoma"/>
          <w:bCs/>
          <w:sz w:val="24"/>
          <w:szCs w:val="24"/>
        </w:rPr>
      </w:pPr>
      <w:r w:rsidRPr="000F28DB">
        <w:rPr>
          <w:rFonts w:ascii="Palatino Linotype" w:hAnsi="Palatino Linotype"/>
          <w:sz w:val="24"/>
          <w:szCs w:val="24"/>
        </w:rPr>
        <w:t>“Solicito que sea proporcionada la información descrita en las fracciones II, VIII, X, XII, XXV, XXVI, XXVIII, XXX, XXXV, XXXVIII, XL, XLVII del artículo 92 de la Ley de Transparencia, Acceso a la Información Pública del Estado de México y Municipios (LTAIPEMM); así como la descrita en el artículo 94, fracción I, inciso b), d) y f); de la ley en cuestión. Se adjunta solicitud”</w:t>
      </w:r>
      <w:r w:rsidRPr="000F28DB">
        <w:rPr>
          <w:rFonts w:ascii="Palatino Linotype" w:hAnsi="Palatino Linotype" w:cs="Tahoma"/>
          <w:bCs/>
          <w:sz w:val="24"/>
          <w:szCs w:val="24"/>
        </w:rPr>
        <w:t>.</w:t>
      </w:r>
    </w:p>
    <w:p w:rsidR="000F28DB" w:rsidRPr="000F28DB" w:rsidRDefault="000F28DB" w:rsidP="00817D08">
      <w:pPr>
        <w:tabs>
          <w:tab w:val="left" w:pos="4667"/>
        </w:tabs>
        <w:spacing w:line="360" w:lineRule="auto"/>
        <w:jc w:val="both"/>
        <w:rPr>
          <w:rFonts w:ascii="Palatino Linotype" w:hAnsi="Palatino Linotype" w:cs="Tahoma"/>
          <w:bCs/>
          <w:sz w:val="24"/>
          <w:szCs w:val="24"/>
        </w:rPr>
      </w:pPr>
      <w:r w:rsidRPr="000F28DB">
        <w:rPr>
          <w:rFonts w:ascii="Palatino Linotype" w:hAnsi="Palatino Linotype" w:cs="Tahoma"/>
          <w:bCs/>
          <w:sz w:val="24"/>
          <w:szCs w:val="24"/>
        </w:rPr>
        <w:t>Asimismo, adjuntó a su solicitud un escrito de tres fojas en las que en su parte medular reitera su solicitud con la aclaración de que la información es parte de las obligaciones de transparencia que deben estar publicadas en el Portal del IPOMEX, por lo que la respuesta a la solicitud, debe darse dentro del plazo señalado en el artículo 161 de la Ley de la materia.</w:t>
      </w:r>
    </w:p>
    <w:p w:rsidR="000F28DB" w:rsidRPr="000F28DB" w:rsidRDefault="000F28DB" w:rsidP="000F28DB">
      <w:pPr>
        <w:tabs>
          <w:tab w:val="left" w:pos="4667"/>
        </w:tabs>
        <w:spacing w:line="360" w:lineRule="auto"/>
        <w:ind w:left="567" w:right="567"/>
        <w:jc w:val="both"/>
        <w:rPr>
          <w:rFonts w:ascii="Palatino Linotype" w:hAnsi="Palatino Linotype" w:cs="Tahoma"/>
          <w:b/>
          <w:bCs/>
          <w:sz w:val="24"/>
          <w:szCs w:val="24"/>
        </w:rPr>
      </w:pPr>
      <w:r w:rsidRPr="000F28DB">
        <w:rPr>
          <w:rFonts w:ascii="Palatino Linotype" w:hAnsi="Palatino Linotype" w:cs="Tahoma"/>
          <w:b/>
          <w:bCs/>
          <w:sz w:val="24"/>
          <w:szCs w:val="24"/>
        </w:rPr>
        <w:t>MODALIDAD DE ENTREGA</w:t>
      </w:r>
    </w:p>
    <w:p w:rsidR="000F28DB" w:rsidRPr="000F28DB" w:rsidRDefault="000F28DB" w:rsidP="000F28DB">
      <w:pPr>
        <w:tabs>
          <w:tab w:val="left" w:pos="4667"/>
        </w:tabs>
        <w:spacing w:line="360" w:lineRule="auto"/>
        <w:ind w:left="567" w:right="567"/>
        <w:jc w:val="both"/>
        <w:rPr>
          <w:rFonts w:ascii="Palatino Linotype" w:hAnsi="Palatino Linotype" w:cs="Tahoma"/>
          <w:bCs/>
          <w:sz w:val="24"/>
          <w:szCs w:val="24"/>
        </w:rPr>
      </w:pPr>
      <w:r w:rsidRPr="000F28DB">
        <w:rPr>
          <w:rFonts w:ascii="Palatino Linotype" w:hAnsi="Palatino Linotype" w:cs="Tahoma"/>
          <w:bCs/>
          <w:sz w:val="24"/>
          <w:szCs w:val="24"/>
        </w:rPr>
        <w:t>Tanto en el formato de la PNT, como en su escrito mencionado, señala como domicilio para oír y recibir notificaciones correo electrónico personal.</w:t>
      </w:r>
    </w:p>
    <w:p w:rsidR="000F28DB" w:rsidRPr="000F28DB" w:rsidRDefault="000F28DB" w:rsidP="000F28DB">
      <w:pPr>
        <w:pStyle w:val="Prrafodelista"/>
        <w:tabs>
          <w:tab w:val="left" w:pos="567"/>
        </w:tabs>
        <w:spacing w:line="360" w:lineRule="auto"/>
        <w:ind w:left="0"/>
        <w:contextualSpacing w:val="0"/>
        <w:jc w:val="both"/>
        <w:rPr>
          <w:rFonts w:ascii="Palatino Linotype" w:hAnsi="Palatino Linotype" w:cs="Tahoma"/>
          <w:sz w:val="24"/>
          <w:szCs w:val="24"/>
        </w:rPr>
      </w:pPr>
    </w:p>
    <w:p w:rsidR="000F28DB" w:rsidRPr="000F28DB" w:rsidRDefault="000F28DB" w:rsidP="000F28DB">
      <w:pPr>
        <w:pStyle w:val="Prrafodelista"/>
        <w:tabs>
          <w:tab w:val="left" w:pos="567"/>
        </w:tabs>
        <w:spacing w:line="360" w:lineRule="auto"/>
        <w:ind w:left="0"/>
        <w:contextualSpacing w:val="0"/>
        <w:jc w:val="both"/>
        <w:rPr>
          <w:rFonts w:ascii="Palatino Linotype" w:hAnsi="Palatino Linotype" w:cs="Tahoma"/>
          <w:sz w:val="24"/>
          <w:szCs w:val="24"/>
        </w:rPr>
      </w:pPr>
      <w:r w:rsidRPr="000F28DB">
        <w:rPr>
          <w:rFonts w:ascii="Palatino Linotype" w:hAnsi="Palatino Linotype" w:cs="Tahoma"/>
          <w:sz w:val="24"/>
          <w:szCs w:val="24"/>
        </w:rPr>
        <w:lastRenderedPageBreak/>
        <w:t>Con fecha once de septiembre de dos mil dieciocho, el particular presentó otra solicitud de acceso a la información pública a través de la Plataforma Nacional de Transparencia</w:t>
      </w:r>
      <w:r w:rsidRPr="000F28DB">
        <w:rPr>
          <w:rFonts w:ascii="Palatino Linotype" w:hAnsi="Palatino Linotype" w:cs="Tahoma"/>
          <w:sz w:val="24"/>
          <w:szCs w:val="24"/>
          <w:lang w:val="es-ES"/>
        </w:rPr>
        <w:t xml:space="preserve"> (PNT)</w:t>
      </w:r>
      <w:r w:rsidRPr="000F28DB">
        <w:rPr>
          <w:rFonts w:ascii="Palatino Linotype" w:hAnsi="Palatino Linotype" w:cs="Tahoma"/>
          <w:sz w:val="24"/>
          <w:szCs w:val="24"/>
        </w:rPr>
        <w:t>, ante el mismo Ayuntamiento de Coatepec Harinas, con número de folio</w:t>
      </w:r>
      <w:r w:rsidRPr="000F28DB">
        <w:rPr>
          <w:rFonts w:ascii="Palatino Linotype" w:hAnsi="Palatino Linotype"/>
          <w:b/>
          <w:bCs/>
          <w:color w:val="FF0000"/>
          <w:sz w:val="24"/>
          <w:szCs w:val="24"/>
          <w:lang w:val="es-ES"/>
        </w:rPr>
        <w:t xml:space="preserve"> </w:t>
      </w:r>
      <w:r w:rsidRPr="000F28DB">
        <w:rPr>
          <w:rFonts w:ascii="Palatino Linotype" w:hAnsi="Palatino Linotype" w:cs="Tahoma"/>
          <w:b/>
          <w:bCs/>
          <w:sz w:val="24"/>
          <w:szCs w:val="24"/>
          <w:lang w:val="es-ES"/>
        </w:rPr>
        <w:t xml:space="preserve">00023/COATHAR/IP/2018, </w:t>
      </w:r>
      <w:r w:rsidRPr="000F28DB">
        <w:rPr>
          <w:rFonts w:ascii="Palatino Linotype" w:hAnsi="Palatino Linotype" w:cs="Tahoma"/>
          <w:sz w:val="24"/>
          <w:szCs w:val="24"/>
        </w:rPr>
        <w:t>mediante la cual requirió:</w:t>
      </w:r>
    </w:p>
    <w:p w:rsidR="000F28DB" w:rsidRPr="000F28DB" w:rsidRDefault="000F28DB" w:rsidP="000F28DB">
      <w:pPr>
        <w:tabs>
          <w:tab w:val="left" w:pos="4667"/>
        </w:tabs>
        <w:spacing w:line="360" w:lineRule="auto"/>
        <w:ind w:left="567" w:right="567"/>
        <w:jc w:val="both"/>
        <w:rPr>
          <w:rFonts w:ascii="Palatino Linotype" w:hAnsi="Palatino Linotype" w:cs="Tahoma"/>
          <w:b/>
          <w:bCs/>
          <w:sz w:val="24"/>
          <w:szCs w:val="24"/>
        </w:rPr>
      </w:pPr>
      <w:r w:rsidRPr="000F28DB">
        <w:rPr>
          <w:rFonts w:ascii="Palatino Linotype" w:hAnsi="Palatino Linotype" w:cs="Tahoma"/>
          <w:b/>
          <w:bCs/>
          <w:sz w:val="24"/>
          <w:szCs w:val="24"/>
        </w:rPr>
        <w:t>DESCRIPCIÓN CLARA Y PRECISA DE LA INFORMACIÓN SOLICITADA</w:t>
      </w:r>
    </w:p>
    <w:p w:rsidR="000F28DB" w:rsidRPr="000F28DB" w:rsidRDefault="000F28DB" w:rsidP="000F28DB">
      <w:pPr>
        <w:tabs>
          <w:tab w:val="left" w:pos="4667"/>
        </w:tabs>
        <w:spacing w:line="360" w:lineRule="auto"/>
        <w:ind w:left="567" w:right="567"/>
        <w:jc w:val="both"/>
        <w:rPr>
          <w:rFonts w:ascii="Palatino Linotype" w:hAnsi="Palatino Linotype" w:cs="Tahoma"/>
          <w:bCs/>
          <w:sz w:val="24"/>
          <w:szCs w:val="24"/>
        </w:rPr>
      </w:pPr>
      <w:r w:rsidRPr="000F28DB">
        <w:rPr>
          <w:rFonts w:ascii="Palatino Linotype" w:hAnsi="Palatino Linotype"/>
          <w:sz w:val="24"/>
          <w:szCs w:val="24"/>
        </w:rPr>
        <w:t>“Solicito que sea proporcionada la información descrita en las fracciones XXXII y XXXVII del artículo 92 de la Ley de Transparencia, Acceso a la Información Pública del Estado de México y Municipios (LTAIPEMM). (Se adjunta la solicitud)</w:t>
      </w:r>
      <w:r w:rsidRPr="000F28DB">
        <w:rPr>
          <w:rFonts w:ascii="Palatino Linotype" w:hAnsi="Palatino Linotype" w:cs="Tahoma"/>
          <w:bCs/>
          <w:sz w:val="24"/>
          <w:szCs w:val="24"/>
        </w:rPr>
        <w:t>”</w:t>
      </w:r>
    </w:p>
    <w:p w:rsidR="0016671B" w:rsidRPr="000F28DB" w:rsidRDefault="0016671B" w:rsidP="0016671B">
      <w:pPr>
        <w:autoSpaceDE w:val="0"/>
        <w:autoSpaceDN w:val="0"/>
        <w:adjustRightInd w:val="0"/>
        <w:ind w:left="992" w:right="1043"/>
        <w:jc w:val="both"/>
        <w:rPr>
          <w:rFonts w:ascii="Palatino Linotype" w:eastAsia="Times New Roman" w:hAnsi="Palatino Linotype" w:cs="Arial"/>
          <w:i/>
          <w:sz w:val="24"/>
          <w:szCs w:val="24"/>
          <w:lang w:val="es-ES" w:eastAsia="es-ES"/>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0F28DB" w:rsidRPr="000F28DB">
        <w:rPr>
          <w:rFonts w:ascii="Palatino Linotype" w:hAnsi="Palatino Linotype" w:cs="Tahoma"/>
          <w:b/>
          <w:bCs/>
          <w:color w:val="0D0D0D" w:themeColor="text1" w:themeTint="F2"/>
          <w:sz w:val="24"/>
          <w:szCs w:val="24"/>
        </w:rPr>
        <w:t xml:space="preserve"> Ayuntamiento de Coatepec Harinas</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4A764F" w:rsidRPr="004A764F" w:rsidRDefault="00480F5B" w:rsidP="004A764F">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 xml:space="preserve">no colmó la solicitud de información por parte del </w:t>
      </w:r>
      <w:r w:rsidRPr="00CE55B7">
        <w:rPr>
          <w:rFonts w:ascii="Palatino Linotype" w:hAnsi="Palatino Linotype" w:cs="Arial"/>
          <w:sz w:val="24"/>
          <w:szCs w:val="24"/>
        </w:rPr>
        <w:lastRenderedPageBreak/>
        <w:t>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720D2F" w:rsidRPr="00720D2F">
        <w:rPr>
          <w:rFonts w:ascii="Palatino Linotype" w:hAnsi="Palatino Linotype"/>
          <w:b/>
        </w:rPr>
        <w:t xml:space="preserve"> </w:t>
      </w:r>
      <w:r w:rsidR="000F28DB" w:rsidRPr="000F28DB">
        <w:rPr>
          <w:rFonts w:ascii="Palatino Linotype" w:hAnsi="Palatino Linotype" w:cs="Tahoma"/>
          <w:b/>
          <w:bCs/>
          <w:color w:val="0D0D0D" w:themeColor="text1" w:themeTint="F2"/>
          <w:sz w:val="24"/>
          <w:szCs w:val="24"/>
        </w:rPr>
        <w:t>Ayuntamiento de Coatepec Harinas</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4A764F" w:rsidRPr="004A764F" w:rsidRDefault="004A764F" w:rsidP="004A764F">
      <w:pPr>
        <w:pStyle w:val="Prrafodelista"/>
        <w:rPr>
          <w:rFonts w:ascii="Palatino Linotype" w:eastAsia="Calibri" w:hAnsi="Palatino Linotype" w:cs="Tahoma"/>
          <w:bCs/>
        </w:rPr>
      </w:pPr>
    </w:p>
    <w:p w:rsidR="004A764F" w:rsidRPr="0094029F" w:rsidRDefault="004A764F" w:rsidP="00817D08">
      <w:pPr>
        <w:pStyle w:val="Prrafodelista"/>
        <w:spacing w:before="120" w:after="120" w:line="360" w:lineRule="auto"/>
        <w:ind w:left="0" w:right="49"/>
        <w:jc w:val="both"/>
        <w:rPr>
          <w:rFonts w:ascii="Palatino Linotype" w:hAnsi="Palatino Linotype"/>
          <w:sz w:val="24"/>
          <w:szCs w:val="24"/>
        </w:rPr>
      </w:pPr>
      <w:r w:rsidRPr="0094029F">
        <w:rPr>
          <w:rFonts w:ascii="Palatino Linotype" w:eastAsia="Calibri" w:hAnsi="Palatino Linotype" w:cs="Tahoma"/>
          <w:bCs/>
          <w:sz w:val="24"/>
          <w:szCs w:val="24"/>
        </w:rPr>
        <w:t>Dentro del periodo comprendido del cinco de septiembre de dos mil diecisiete al treinta y uno de diciembre de dos mil diecisiete:</w:t>
      </w:r>
    </w:p>
    <w:p w:rsidR="004A764F" w:rsidRPr="0094029F" w:rsidRDefault="004A764F" w:rsidP="004A764F">
      <w:pPr>
        <w:pStyle w:val="Prrafodelista"/>
        <w:numPr>
          <w:ilvl w:val="0"/>
          <w:numId w:val="32"/>
        </w:numPr>
        <w:shd w:val="clear" w:color="auto" w:fill="FFFFFF" w:themeFill="background1"/>
        <w:spacing w:after="0" w:line="360" w:lineRule="auto"/>
        <w:ind w:left="709"/>
        <w:jc w:val="both"/>
        <w:rPr>
          <w:rFonts w:ascii="Palatino Linotype" w:eastAsia="Calibri" w:hAnsi="Palatino Linotype" w:cs="Tahoma"/>
          <w:bCs/>
          <w:sz w:val="24"/>
          <w:szCs w:val="24"/>
        </w:rPr>
      </w:pPr>
      <w:r w:rsidRPr="0094029F">
        <w:rPr>
          <w:rFonts w:ascii="Palatino Linotype" w:eastAsia="Calibri" w:hAnsi="Palatino Linotype" w:cs="Tahoma"/>
          <w:bCs/>
          <w:sz w:val="24"/>
          <w:szCs w:val="24"/>
        </w:rPr>
        <w:t xml:space="preserve">El organigrama vigente para ese, en caso de que fuera diferente al del año dos mil dieciocho, en caso de que no existan modificaciones </w:t>
      </w:r>
      <w:r w:rsidRPr="0094029F">
        <w:rPr>
          <w:rFonts w:ascii="Palatino Linotype" w:hAnsi="Palatino Linotype" w:cs="Tahoma"/>
          <w:sz w:val="24"/>
          <w:szCs w:val="24"/>
        </w:rPr>
        <w:t>bastará con que así lo indique.</w:t>
      </w:r>
    </w:p>
    <w:p w:rsidR="004A764F" w:rsidRPr="0094029F" w:rsidRDefault="004A764F" w:rsidP="004A764F">
      <w:pPr>
        <w:pStyle w:val="Prrafodelista"/>
        <w:numPr>
          <w:ilvl w:val="0"/>
          <w:numId w:val="32"/>
        </w:numPr>
        <w:shd w:val="clear" w:color="auto" w:fill="FFFFFF" w:themeFill="background1"/>
        <w:spacing w:after="0" w:line="360" w:lineRule="auto"/>
        <w:ind w:left="709"/>
        <w:jc w:val="both"/>
        <w:rPr>
          <w:rFonts w:ascii="Palatino Linotype" w:eastAsia="Calibri" w:hAnsi="Palatino Linotype" w:cs="Tahoma"/>
          <w:bCs/>
          <w:sz w:val="24"/>
          <w:szCs w:val="24"/>
        </w:rPr>
      </w:pPr>
      <w:r w:rsidRPr="0094029F">
        <w:rPr>
          <w:rFonts w:ascii="Palatino Linotype" w:eastAsia="Calibri" w:hAnsi="Palatino Linotype" w:cs="Tahoma"/>
          <w:bCs/>
          <w:sz w:val="24"/>
          <w:szCs w:val="24"/>
        </w:rPr>
        <w:t xml:space="preserve">Las remuneraciones; </w:t>
      </w:r>
      <w:r w:rsidRPr="0094029F">
        <w:rPr>
          <w:rFonts w:ascii="Palatino Linotype" w:hAnsi="Palatino Linotype" w:cs="Tahoma"/>
          <w:sz w:val="24"/>
          <w:szCs w:val="24"/>
        </w:rPr>
        <w:t>en caso de que exista información susceptible de actualizar</w:t>
      </w:r>
    </w:p>
    <w:p w:rsidR="004A764F" w:rsidRPr="0094029F" w:rsidRDefault="004A764F" w:rsidP="004A764F">
      <w:pPr>
        <w:pStyle w:val="Prrafodelista"/>
        <w:numPr>
          <w:ilvl w:val="0"/>
          <w:numId w:val="32"/>
        </w:numPr>
        <w:spacing w:after="0" w:line="360" w:lineRule="auto"/>
        <w:ind w:left="709"/>
        <w:jc w:val="both"/>
        <w:rPr>
          <w:rFonts w:ascii="Palatino Linotype" w:hAnsi="Palatino Linotype" w:cs="Tahoma"/>
          <w:sz w:val="24"/>
          <w:szCs w:val="24"/>
        </w:rPr>
      </w:pPr>
      <w:r w:rsidRPr="0094029F">
        <w:rPr>
          <w:rFonts w:ascii="Palatino Linotype" w:hAnsi="Palatino Linotype" w:cs="Tahoma"/>
          <w:sz w:val="24"/>
          <w:szCs w:val="24"/>
        </w:rPr>
        <w:t>Las plazas vacantes, en caso de que durante ese año no haya contado con plazas vacantes, bastará con que así lo indique.</w:t>
      </w:r>
    </w:p>
    <w:p w:rsidR="004A764F" w:rsidRPr="0094029F" w:rsidRDefault="004A764F" w:rsidP="004A764F">
      <w:pPr>
        <w:pStyle w:val="Prrafodelista"/>
        <w:numPr>
          <w:ilvl w:val="0"/>
          <w:numId w:val="32"/>
        </w:numPr>
        <w:spacing w:after="0" w:line="360" w:lineRule="auto"/>
        <w:ind w:left="709"/>
        <w:jc w:val="both"/>
        <w:rPr>
          <w:rFonts w:ascii="Palatino Linotype" w:hAnsi="Palatino Linotype" w:cs="Tahoma"/>
          <w:sz w:val="24"/>
          <w:szCs w:val="24"/>
        </w:rPr>
      </w:pPr>
      <w:r w:rsidRPr="0094029F">
        <w:rPr>
          <w:rFonts w:ascii="Palatino Linotype" w:hAnsi="Palatino Linotype" w:cs="Tahoma"/>
          <w:sz w:val="24"/>
          <w:szCs w:val="24"/>
        </w:rPr>
        <w:t>Erogaciones por contratación de servicios (únicamente si ésta ha sufrido alguna actualización que no fue publicada, será necesario que el Sujeto Obligado proporcione la documentación fuente, donde consten las erogaciones por contratación de servicios)</w:t>
      </w:r>
    </w:p>
    <w:p w:rsidR="004A764F" w:rsidRPr="0094029F" w:rsidRDefault="004A764F" w:rsidP="004A764F">
      <w:pPr>
        <w:pStyle w:val="Prrafodelista"/>
        <w:numPr>
          <w:ilvl w:val="0"/>
          <w:numId w:val="32"/>
        </w:numPr>
        <w:spacing w:after="0" w:line="360" w:lineRule="auto"/>
        <w:ind w:left="709"/>
        <w:jc w:val="both"/>
        <w:rPr>
          <w:rFonts w:ascii="Palatino Linotype" w:hAnsi="Palatino Linotype" w:cs="Tahoma"/>
          <w:sz w:val="24"/>
          <w:szCs w:val="24"/>
        </w:rPr>
      </w:pPr>
      <w:r w:rsidRPr="0094029F">
        <w:rPr>
          <w:rFonts w:ascii="Palatino Linotype" w:hAnsi="Palatino Linotype" w:cs="Tahoma"/>
          <w:sz w:val="24"/>
          <w:szCs w:val="24"/>
        </w:rPr>
        <w:t>Deuda pública.</w:t>
      </w:r>
    </w:p>
    <w:p w:rsidR="004A764F" w:rsidRPr="0094029F" w:rsidRDefault="004A764F" w:rsidP="004A764F">
      <w:pPr>
        <w:pStyle w:val="Prrafodelista"/>
        <w:numPr>
          <w:ilvl w:val="0"/>
          <w:numId w:val="32"/>
        </w:numPr>
        <w:spacing w:after="0" w:line="360" w:lineRule="auto"/>
        <w:ind w:left="709"/>
        <w:jc w:val="both"/>
        <w:rPr>
          <w:rFonts w:ascii="Palatino Linotype" w:hAnsi="Palatino Linotype" w:cs="Tahoma"/>
          <w:sz w:val="24"/>
          <w:szCs w:val="24"/>
        </w:rPr>
      </w:pPr>
      <w:r w:rsidRPr="0094029F">
        <w:rPr>
          <w:rFonts w:ascii="Palatino Linotype" w:hAnsi="Palatino Linotype" w:cs="Tahoma"/>
          <w:sz w:val="24"/>
          <w:szCs w:val="24"/>
        </w:rPr>
        <w:t>Resultados de auditorías realizadas, en caso de que la información no se hubiera generado, bastará con que así lo indique.</w:t>
      </w:r>
    </w:p>
    <w:p w:rsidR="004A764F" w:rsidRPr="0094029F" w:rsidRDefault="004A764F" w:rsidP="004A764F">
      <w:pPr>
        <w:pStyle w:val="Prrafodelista"/>
        <w:numPr>
          <w:ilvl w:val="0"/>
          <w:numId w:val="32"/>
        </w:numPr>
        <w:spacing w:after="0" w:line="360" w:lineRule="auto"/>
        <w:ind w:left="709"/>
        <w:jc w:val="both"/>
        <w:rPr>
          <w:rFonts w:ascii="Palatino Linotype" w:hAnsi="Palatino Linotype" w:cs="Tahoma"/>
          <w:sz w:val="24"/>
          <w:szCs w:val="24"/>
        </w:rPr>
      </w:pPr>
      <w:r w:rsidRPr="0094029F">
        <w:rPr>
          <w:rFonts w:ascii="Palatino Linotype" w:hAnsi="Palatino Linotype" w:cs="Tahoma"/>
          <w:sz w:val="24"/>
          <w:szCs w:val="24"/>
        </w:rPr>
        <w:t xml:space="preserve">Resultados de la </w:t>
      </w:r>
      <w:proofErr w:type="spellStart"/>
      <w:r w:rsidRPr="0094029F">
        <w:rPr>
          <w:rFonts w:ascii="Palatino Linotype" w:hAnsi="Palatino Linotype" w:cs="Tahoma"/>
          <w:sz w:val="24"/>
          <w:szCs w:val="24"/>
        </w:rPr>
        <w:t>dictaminación</w:t>
      </w:r>
      <w:proofErr w:type="spellEnd"/>
      <w:r w:rsidRPr="0094029F">
        <w:rPr>
          <w:rFonts w:ascii="Palatino Linotype" w:hAnsi="Palatino Linotype" w:cs="Tahoma"/>
          <w:sz w:val="24"/>
          <w:szCs w:val="24"/>
        </w:rPr>
        <w:t xml:space="preserve"> de estados financieros</w:t>
      </w:r>
    </w:p>
    <w:p w:rsidR="004A764F" w:rsidRPr="0094029F" w:rsidRDefault="004A764F" w:rsidP="004A764F">
      <w:pPr>
        <w:pStyle w:val="Prrafodelista"/>
        <w:numPr>
          <w:ilvl w:val="0"/>
          <w:numId w:val="32"/>
        </w:numPr>
        <w:spacing w:after="0" w:line="360" w:lineRule="auto"/>
        <w:ind w:left="709"/>
        <w:jc w:val="both"/>
        <w:rPr>
          <w:rFonts w:ascii="Palatino Linotype" w:hAnsi="Palatino Linotype" w:cs="Tahoma"/>
          <w:sz w:val="24"/>
          <w:szCs w:val="24"/>
        </w:rPr>
      </w:pPr>
      <w:r w:rsidRPr="0094029F">
        <w:rPr>
          <w:rFonts w:ascii="Palatino Linotype" w:hAnsi="Palatino Linotype" w:cs="Tahoma"/>
          <w:sz w:val="24"/>
          <w:szCs w:val="24"/>
        </w:rPr>
        <w:t>Concesiones, contratos, convenios, permisos, licencias o autorizaciones otorgados.</w:t>
      </w:r>
    </w:p>
    <w:p w:rsidR="004A764F" w:rsidRPr="0094029F" w:rsidRDefault="004A764F" w:rsidP="004A764F">
      <w:pPr>
        <w:pStyle w:val="Prrafodelista"/>
        <w:numPr>
          <w:ilvl w:val="0"/>
          <w:numId w:val="32"/>
        </w:numPr>
        <w:spacing w:after="0" w:line="360" w:lineRule="auto"/>
        <w:ind w:left="709"/>
        <w:jc w:val="both"/>
        <w:rPr>
          <w:rFonts w:ascii="Palatino Linotype" w:hAnsi="Palatino Linotype" w:cs="Tahoma"/>
          <w:sz w:val="24"/>
          <w:szCs w:val="24"/>
        </w:rPr>
      </w:pPr>
      <w:r w:rsidRPr="0094029F">
        <w:rPr>
          <w:rFonts w:ascii="Palatino Linotype" w:hAnsi="Palatino Linotype" w:cs="Tahoma"/>
          <w:sz w:val="24"/>
          <w:szCs w:val="24"/>
        </w:rPr>
        <w:t>Gasto por capítulo.</w:t>
      </w:r>
    </w:p>
    <w:p w:rsidR="004A764F" w:rsidRPr="0094029F" w:rsidRDefault="004A764F" w:rsidP="004A764F">
      <w:pPr>
        <w:pStyle w:val="Prrafodelista"/>
        <w:numPr>
          <w:ilvl w:val="0"/>
          <w:numId w:val="32"/>
        </w:numPr>
        <w:spacing w:after="0" w:line="360" w:lineRule="auto"/>
        <w:ind w:left="709"/>
        <w:jc w:val="both"/>
        <w:rPr>
          <w:rFonts w:ascii="Palatino Linotype" w:hAnsi="Palatino Linotype" w:cs="Tahoma"/>
          <w:sz w:val="24"/>
          <w:szCs w:val="24"/>
        </w:rPr>
      </w:pPr>
      <w:r w:rsidRPr="0094029F">
        <w:rPr>
          <w:rFonts w:ascii="Palatino Linotype" w:hAnsi="Palatino Linotype" w:cs="Tahoma"/>
          <w:sz w:val="24"/>
          <w:szCs w:val="24"/>
        </w:rPr>
        <w:lastRenderedPageBreak/>
        <w:t>Informes financieros.</w:t>
      </w:r>
    </w:p>
    <w:p w:rsidR="004A764F" w:rsidRPr="0094029F" w:rsidRDefault="004A764F" w:rsidP="004A764F">
      <w:pPr>
        <w:pStyle w:val="Prrafodelista"/>
        <w:numPr>
          <w:ilvl w:val="0"/>
          <w:numId w:val="32"/>
        </w:numPr>
        <w:spacing w:after="0" w:line="360" w:lineRule="auto"/>
        <w:ind w:left="709"/>
        <w:jc w:val="both"/>
        <w:rPr>
          <w:rFonts w:ascii="Palatino Linotype" w:hAnsi="Palatino Linotype" w:cs="Tahoma"/>
          <w:sz w:val="24"/>
          <w:szCs w:val="24"/>
        </w:rPr>
      </w:pPr>
      <w:r w:rsidRPr="0094029F">
        <w:rPr>
          <w:rFonts w:ascii="Palatino Linotype" w:hAnsi="Palatino Linotype" w:cs="Tahoma"/>
          <w:sz w:val="24"/>
          <w:szCs w:val="24"/>
        </w:rPr>
        <w:t>Convenios de coordinación.</w:t>
      </w:r>
    </w:p>
    <w:p w:rsidR="004A764F" w:rsidRPr="0094029F" w:rsidRDefault="004A764F" w:rsidP="004A764F">
      <w:pPr>
        <w:pStyle w:val="Prrafodelista"/>
        <w:numPr>
          <w:ilvl w:val="0"/>
          <w:numId w:val="32"/>
        </w:numPr>
        <w:spacing w:after="0" w:line="360" w:lineRule="auto"/>
        <w:ind w:left="709"/>
        <w:jc w:val="both"/>
        <w:rPr>
          <w:rFonts w:ascii="Palatino Linotype" w:hAnsi="Palatino Linotype" w:cs="Tahoma"/>
          <w:sz w:val="24"/>
          <w:szCs w:val="24"/>
        </w:rPr>
      </w:pPr>
      <w:r w:rsidRPr="0094029F">
        <w:rPr>
          <w:rFonts w:ascii="Palatino Linotype" w:hAnsi="Palatino Linotype" w:cs="Tahoma"/>
          <w:sz w:val="24"/>
          <w:szCs w:val="24"/>
        </w:rPr>
        <w:t>Inventario de bienes muebles; Inventario de altas practicadas a bienes muebles (únicamente si ésta ha sufrido alguna actualización que no fue publicada, será necesario que el Sujeto Obligado proporcione la documentación fuente)</w:t>
      </w:r>
    </w:p>
    <w:p w:rsidR="004A764F" w:rsidRPr="0094029F" w:rsidRDefault="004A764F" w:rsidP="004A764F">
      <w:pPr>
        <w:pStyle w:val="Prrafodelista"/>
        <w:numPr>
          <w:ilvl w:val="0"/>
          <w:numId w:val="32"/>
        </w:numPr>
        <w:spacing w:after="0" w:line="360" w:lineRule="auto"/>
        <w:ind w:left="709"/>
        <w:jc w:val="both"/>
        <w:rPr>
          <w:rFonts w:ascii="Palatino Linotype" w:hAnsi="Palatino Linotype" w:cs="Tahoma"/>
          <w:sz w:val="24"/>
          <w:szCs w:val="24"/>
        </w:rPr>
      </w:pPr>
      <w:r w:rsidRPr="0094029F">
        <w:rPr>
          <w:rFonts w:ascii="Palatino Linotype" w:hAnsi="Palatino Linotype" w:cs="Tahoma"/>
          <w:sz w:val="24"/>
          <w:szCs w:val="24"/>
        </w:rPr>
        <w:t>Inventario de altas practicadas a bienes inmuebles, así como Inventario de bajas practicadas a bienes inmuebles.</w:t>
      </w:r>
    </w:p>
    <w:p w:rsidR="004A764F" w:rsidRPr="0094029F" w:rsidRDefault="004A764F" w:rsidP="004A764F">
      <w:pPr>
        <w:pStyle w:val="Prrafodelista"/>
        <w:numPr>
          <w:ilvl w:val="0"/>
          <w:numId w:val="32"/>
        </w:numPr>
        <w:spacing w:after="0" w:line="360" w:lineRule="auto"/>
        <w:ind w:left="709"/>
        <w:jc w:val="both"/>
        <w:rPr>
          <w:rFonts w:ascii="Palatino Linotype" w:hAnsi="Palatino Linotype" w:cs="Tahoma"/>
          <w:sz w:val="24"/>
          <w:szCs w:val="24"/>
        </w:rPr>
      </w:pPr>
      <w:r w:rsidRPr="0094029F">
        <w:rPr>
          <w:rFonts w:ascii="Palatino Linotype" w:hAnsi="Palatino Linotype" w:cs="Tahoma"/>
          <w:sz w:val="24"/>
          <w:szCs w:val="24"/>
        </w:rPr>
        <w:t>Inventario sobre bienes muebles e inmuebles donados, en caso de que durante estos dos años no se hayan realizado donaciones, bastara con que así lo indique.</w:t>
      </w:r>
    </w:p>
    <w:p w:rsidR="004A764F" w:rsidRPr="0094029F" w:rsidRDefault="004A764F" w:rsidP="004A764F">
      <w:pPr>
        <w:pStyle w:val="Prrafodelista"/>
        <w:numPr>
          <w:ilvl w:val="0"/>
          <w:numId w:val="32"/>
        </w:numPr>
        <w:spacing w:after="0" w:line="360" w:lineRule="auto"/>
        <w:ind w:left="709"/>
        <w:jc w:val="both"/>
        <w:rPr>
          <w:rFonts w:ascii="Palatino Linotype" w:hAnsi="Palatino Linotype" w:cs="Tahoma"/>
          <w:sz w:val="24"/>
          <w:szCs w:val="24"/>
        </w:rPr>
      </w:pPr>
      <w:r w:rsidRPr="0094029F">
        <w:rPr>
          <w:rFonts w:ascii="Palatino Linotype" w:hAnsi="Palatino Linotype" w:cs="Tahoma"/>
          <w:sz w:val="24"/>
          <w:szCs w:val="24"/>
        </w:rPr>
        <w:t>Resoluciones y laudos emitidos.</w:t>
      </w:r>
    </w:p>
    <w:p w:rsidR="004A764F" w:rsidRPr="0094029F" w:rsidRDefault="004A764F" w:rsidP="004A764F">
      <w:pPr>
        <w:pStyle w:val="Prrafodelista"/>
        <w:numPr>
          <w:ilvl w:val="0"/>
          <w:numId w:val="32"/>
        </w:numPr>
        <w:spacing w:after="0" w:line="360" w:lineRule="auto"/>
        <w:ind w:left="709"/>
        <w:jc w:val="both"/>
        <w:rPr>
          <w:rFonts w:ascii="Palatino Linotype" w:hAnsi="Palatino Linotype" w:cs="Tahoma"/>
          <w:sz w:val="24"/>
          <w:szCs w:val="24"/>
        </w:rPr>
      </w:pPr>
      <w:r w:rsidRPr="0094029F">
        <w:rPr>
          <w:rFonts w:ascii="Palatino Linotype" w:hAnsi="Palatino Linotype" w:cs="Tahoma"/>
          <w:sz w:val="24"/>
          <w:szCs w:val="24"/>
        </w:rPr>
        <w:t>Programas que ha ofrecido, en caso de que no cuente con programas, bastará con que así lo indique.</w:t>
      </w:r>
    </w:p>
    <w:p w:rsidR="004A764F" w:rsidRPr="0094029F" w:rsidRDefault="004A764F" w:rsidP="004A764F">
      <w:pPr>
        <w:pStyle w:val="Prrafodelista"/>
        <w:numPr>
          <w:ilvl w:val="0"/>
          <w:numId w:val="32"/>
        </w:numPr>
        <w:spacing w:after="0" w:line="360" w:lineRule="auto"/>
        <w:ind w:left="709"/>
        <w:jc w:val="both"/>
        <w:rPr>
          <w:rFonts w:ascii="Palatino Linotype" w:hAnsi="Palatino Linotype" w:cs="Tahoma"/>
          <w:sz w:val="24"/>
          <w:szCs w:val="24"/>
        </w:rPr>
      </w:pPr>
      <w:r w:rsidRPr="0094029F">
        <w:rPr>
          <w:rFonts w:ascii="Palatino Linotype" w:hAnsi="Palatino Linotype" w:cs="Tahoma"/>
          <w:sz w:val="24"/>
          <w:szCs w:val="24"/>
        </w:rPr>
        <w:t>Presupuestos de egresos de la Entidad, así como en su caso, la versión ciudadana de los presupuestos del Ayuntamiento.</w:t>
      </w:r>
    </w:p>
    <w:p w:rsidR="004A764F" w:rsidRPr="0094029F" w:rsidRDefault="004A764F" w:rsidP="004A764F">
      <w:pPr>
        <w:pStyle w:val="Prrafodelista"/>
        <w:numPr>
          <w:ilvl w:val="0"/>
          <w:numId w:val="32"/>
        </w:numPr>
        <w:spacing w:after="0" w:line="360" w:lineRule="auto"/>
        <w:ind w:left="709"/>
        <w:jc w:val="both"/>
        <w:rPr>
          <w:rFonts w:ascii="Palatino Linotype" w:hAnsi="Palatino Linotype" w:cs="Tahoma"/>
          <w:sz w:val="24"/>
          <w:szCs w:val="24"/>
        </w:rPr>
      </w:pPr>
      <w:r w:rsidRPr="0094029F">
        <w:rPr>
          <w:rFonts w:ascii="Palatino Linotype" w:hAnsi="Palatino Linotype" w:cs="Tahoma"/>
          <w:sz w:val="24"/>
          <w:szCs w:val="24"/>
        </w:rPr>
        <w:t>Egresos y fórmulas de distribución de los recursos.</w:t>
      </w:r>
    </w:p>
    <w:p w:rsidR="004A764F" w:rsidRPr="0094029F" w:rsidRDefault="004A764F" w:rsidP="004A764F">
      <w:pPr>
        <w:pStyle w:val="Prrafodelista"/>
        <w:numPr>
          <w:ilvl w:val="0"/>
          <w:numId w:val="32"/>
        </w:numPr>
        <w:spacing w:after="0" w:line="360" w:lineRule="auto"/>
        <w:ind w:left="709"/>
        <w:jc w:val="both"/>
        <w:rPr>
          <w:rFonts w:ascii="Palatino Linotype" w:hAnsi="Palatino Linotype" w:cs="Tahoma"/>
          <w:sz w:val="24"/>
          <w:szCs w:val="24"/>
        </w:rPr>
      </w:pPr>
      <w:r w:rsidRPr="0094029F">
        <w:rPr>
          <w:rFonts w:ascii="Palatino Linotype" w:hAnsi="Palatino Linotype" w:cs="Tahoma"/>
          <w:sz w:val="24"/>
          <w:szCs w:val="24"/>
        </w:rPr>
        <w:t>Cancelaciones y condonaciones; Contribuyentes que recibieron cancelación o condonación de créditos fiscales y Estadísticas sobre exenciones. En caso de que en el periodo solicitado no se hayan autorizado cancelaciones o condonaciones, bastará con que así lo indique.</w:t>
      </w:r>
    </w:p>
    <w:p w:rsidR="004A764F" w:rsidRPr="0094029F" w:rsidRDefault="004A764F" w:rsidP="004A764F">
      <w:pPr>
        <w:pStyle w:val="Prrafodelista"/>
        <w:numPr>
          <w:ilvl w:val="0"/>
          <w:numId w:val="32"/>
        </w:numPr>
        <w:spacing w:after="0" w:line="360" w:lineRule="auto"/>
        <w:ind w:left="709"/>
        <w:jc w:val="both"/>
        <w:rPr>
          <w:rFonts w:ascii="Palatino Linotype" w:hAnsi="Palatino Linotype" w:cs="Tahoma"/>
          <w:sz w:val="24"/>
          <w:szCs w:val="24"/>
        </w:rPr>
      </w:pPr>
      <w:r w:rsidRPr="0094029F">
        <w:rPr>
          <w:rFonts w:ascii="Palatino Linotype" w:hAnsi="Palatino Linotype" w:cs="Tahoma"/>
          <w:sz w:val="24"/>
          <w:szCs w:val="24"/>
        </w:rPr>
        <w:t>Plan de Desarrollo Urbano.</w:t>
      </w:r>
    </w:p>
    <w:p w:rsidR="004A764F" w:rsidRPr="0094029F" w:rsidRDefault="004A764F" w:rsidP="004A764F">
      <w:pPr>
        <w:pStyle w:val="Prrafodelista"/>
        <w:numPr>
          <w:ilvl w:val="0"/>
          <w:numId w:val="32"/>
        </w:numPr>
        <w:spacing w:after="0" w:line="360" w:lineRule="auto"/>
        <w:ind w:left="709"/>
        <w:jc w:val="both"/>
        <w:rPr>
          <w:rFonts w:ascii="Palatino Linotype" w:hAnsi="Palatino Linotype" w:cs="Tahoma"/>
          <w:sz w:val="24"/>
          <w:szCs w:val="24"/>
        </w:rPr>
      </w:pPr>
      <w:r w:rsidRPr="0094029F">
        <w:rPr>
          <w:rFonts w:ascii="Palatino Linotype" w:hAnsi="Palatino Linotype" w:cs="Tahoma"/>
          <w:sz w:val="24"/>
          <w:szCs w:val="24"/>
        </w:rPr>
        <w:lastRenderedPageBreak/>
        <w:t>Tipos de uso de suelo.</w:t>
      </w:r>
    </w:p>
    <w:p w:rsidR="004A764F" w:rsidRPr="0094029F" w:rsidRDefault="004A764F" w:rsidP="004A764F">
      <w:pPr>
        <w:pStyle w:val="Prrafodelista"/>
        <w:numPr>
          <w:ilvl w:val="0"/>
          <w:numId w:val="32"/>
        </w:numPr>
        <w:spacing w:after="0" w:line="360" w:lineRule="auto"/>
        <w:ind w:left="709"/>
        <w:jc w:val="both"/>
        <w:rPr>
          <w:rFonts w:ascii="Palatino Linotype" w:hAnsi="Palatino Linotype" w:cs="Tahoma"/>
          <w:sz w:val="24"/>
          <w:szCs w:val="24"/>
        </w:rPr>
      </w:pPr>
      <w:r w:rsidRPr="0094029F">
        <w:rPr>
          <w:rFonts w:ascii="Palatino Linotype" w:hAnsi="Palatino Linotype" w:cs="Tahoma"/>
          <w:sz w:val="24"/>
          <w:szCs w:val="24"/>
        </w:rPr>
        <w:t>Licencias de uso de suelo.</w:t>
      </w:r>
    </w:p>
    <w:p w:rsidR="004A764F" w:rsidRDefault="004A764F" w:rsidP="004A764F">
      <w:pPr>
        <w:pStyle w:val="Prrafodelista"/>
        <w:numPr>
          <w:ilvl w:val="0"/>
          <w:numId w:val="32"/>
        </w:numPr>
        <w:spacing w:after="0" w:line="360" w:lineRule="auto"/>
        <w:ind w:left="709"/>
        <w:jc w:val="both"/>
        <w:rPr>
          <w:rFonts w:ascii="Palatino Linotype" w:hAnsi="Palatino Linotype" w:cs="Tahoma"/>
          <w:sz w:val="24"/>
          <w:szCs w:val="24"/>
        </w:rPr>
      </w:pPr>
      <w:r w:rsidRPr="0094029F">
        <w:rPr>
          <w:rFonts w:ascii="Palatino Linotype" w:hAnsi="Palatino Linotype" w:cs="Tahoma"/>
          <w:sz w:val="24"/>
          <w:szCs w:val="24"/>
        </w:rPr>
        <w:t>Licencias de construcción.</w:t>
      </w:r>
    </w:p>
    <w:p w:rsidR="0094029F" w:rsidRPr="0094029F" w:rsidRDefault="0094029F" w:rsidP="0094029F">
      <w:pPr>
        <w:pStyle w:val="Prrafodelista"/>
        <w:spacing w:after="0" w:line="360" w:lineRule="auto"/>
        <w:ind w:left="709"/>
        <w:jc w:val="both"/>
        <w:rPr>
          <w:rFonts w:ascii="Palatino Linotype" w:hAnsi="Palatino Linotype" w:cs="Tahoma"/>
          <w:sz w:val="24"/>
          <w:szCs w:val="24"/>
        </w:rPr>
      </w:pPr>
    </w:p>
    <w:p w:rsidR="004A764F" w:rsidRPr="0094029F" w:rsidRDefault="004A764F" w:rsidP="0094029F">
      <w:pPr>
        <w:shd w:val="clear" w:color="auto" w:fill="FFFFFF" w:themeFill="background1"/>
        <w:spacing w:line="360" w:lineRule="auto"/>
        <w:jc w:val="both"/>
        <w:rPr>
          <w:rFonts w:ascii="Palatino Linotype" w:eastAsia="Calibri" w:hAnsi="Palatino Linotype" w:cs="Tahoma"/>
          <w:bCs/>
          <w:sz w:val="24"/>
          <w:szCs w:val="24"/>
        </w:rPr>
      </w:pPr>
      <w:r w:rsidRPr="0094029F">
        <w:rPr>
          <w:rFonts w:ascii="Palatino Linotype" w:eastAsia="Calibri" w:hAnsi="Palatino Linotype" w:cs="Tahoma"/>
          <w:bCs/>
          <w:sz w:val="24"/>
          <w:szCs w:val="24"/>
        </w:rPr>
        <w:t>Dentro del periodo comprendido del primero de enero de dos mil dieciocho al once de septiembre de dos mil dieciocho:</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Las plazas vacantes, en caso de que durante ese año no haya contado con plazas vacantes, bastará con que así lo indique.</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Total de plazas vacantes y ocupadas</w:t>
      </w:r>
      <w:r w:rsidRPr="0094029F">
        <w:rPr>
          <w:rFonts w:ascii="Palatino Linotype" w:eastAsia="Calibri" w:hAnsi="Palatino Linotype" w:cs="Tahoma"/>
          <w:bCs/>
          <w:sz w:val="24"/>
          <w:szCs w:val="24"/>
        </w:rPr>
        <w:t>.</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Los perfiles de puesto.</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Presupuesto asignado.</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Erogaciones por contratación de servicios (únicamente si ésta ha sufrido alguna actualización que no fue publicada, será necesario que el Sujeto Obligado proporcione la documentación fuente, donde consten las erogaciones por contratación de servicios)</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Información financiera de cuenta pública.</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Deuda pública.</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Resultados de auditorías realizadas, en caso de que la información no se hubiera generado, bastará con que así lo indique.</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 xml:space="preserve">Resultados de la </w:t>
      </w:r>
      <w:proofErr w:type="spellStart"/>
      <w:r w:rsidRPr="0094029F">
        <w:rPr>
          <w:rFonts w:ascii="Palatino Linotype" w:hAnsi="Palatino Linotype" w:cs="Tahoma"/>
          <w:sz w:val="24"/>
          <w:szCs w:val="24"/>
        </w:rPr>
        <w:t>dictaminación</w:t>
      </w:r>
      <w:proofErr w:type="spellEnd"/>
      <w:r w:rsidRPr="0094029F">
        <w:rPr>
          <w:rFonts w:ascii="Palatino Linotype" w:hAnsi="Palatino Linotype" w:cs="Tahoma"/>
          <w:sz w:val="24"/>
          <w:szCs w:val="24"/>
        </w:rPr>
        <w:t xml:space="preserve"> de estados financieros</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Concesiones, contratos, convenios, permisos, licencias o autorizaciones otorgados.</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lastRenderedPageBreak/>
        <w:t>Gasto por capítulo.</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Informes financieros.</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Convenios de coordinación.</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Inventario de bienes muebles; Inventario de altas practicadas a bienes muebles (únicamente si ésta ha sufrido alguna actualización que no fue publicada, será necesario que el Sujeto Obligado proporcione la documentación fuente)</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 xml:space="preserve">Inventario de bajas practicadas a bienes muebles; Inventario de bienes inmuebles; </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Resoluciones y laudos emitidos.</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Programas que ha ofrecido, en caso de que no cuente con programas, bastará con que así lo indique.</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Trámites para acceder a programas que ofrecen</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Presupuestos de egresos.</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Egresos y fórmulas de distribución de los recursos.</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Cancelaciones y condonaciones; Contribuyentes que recibieron cancelación o condonación de créditos fiscales y Estadísticas sobre exenciones. En caso de que en el periodo solicitado no se hayan autorizado cancelaciones o condonaciones, bastará con que así lo indique.</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Plan de Desarrollo Urbano.</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Planes y programas de desarrollo urbano.</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Planes y programas de ordenamiento territorial.</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lastRenderedPageBreak/>
        <w:t>Planes y programas de ordenamiento ecológico.</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Tipos de uso de suelo.</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Licencias de uso de suelo.</w:t>
      </w:r>
    </w:p>
    <w:p w:rsidR="004A764F" w:rsidRPr="0094029F" w:rsidRDefault="004A764F" w:rsidP="004A764F">
      <w:pPr>
        <w:pStyle w:val="Prrafodelista"/>
        <w:numPr>
          <w:ilvl w:val="0"/>
          <w:numId w:val="33"/>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Licencias de construcción</w:t>
      </w:r>
    </w:p>
    <w:p w:rsidR="004A764F" w:rsidRPr="0094029F" w:rsidRDefault="004A764F" w:rsidP="004A764F">
      <w:pPr>
        <w:tabs>
          <w:tab w:val="left" w:pos="4962"/>
        </w:tabs>
        <w:spacing w:line="360" w:lineRule="auto"/>
        <w:jc w:val="both"/>
        <w:rPr>
          <w:rFonts w:ascii="Palatino Linotype" w:hAnsi="Palatino Linotype" w:cs="Tahoma"/>
          <w:sz w:val="24"/>
          <w:szCs w:val="24"/>
        </w:rPr>
      </w:pPr>
      <w:r w:rsidRPr="0094029F">
        <w:rPr>
          <w:rFonts w:ascii="Palatino Linotype" w:hAnsi="Palatino Linotype" w:cs="Tahoma"/>
          <w:sz w:val="24"/>
          <w:szCs w:val="24"/>
        </w:rPr>
        <w:t>La documentación que contenga información reservada o confidencial deberá entregarse en versión pública, junto con el acuerdo del Comité de Transparencia, en el que se funde y motive la eliminación de la información de conformidad con lo establecido en los artículos 125, 128, 129, 132, fracción I, 138, 141 y 149 de la Ley de Transparencia y Acceso a la Información Pública de Estado de México y Municipios.</w:t>
      </w:r>
    </w:p>
    <w:p w:rsidR="004A764F" w:rsidRPr="0094029F" w:rsidRDefault="004A764F" w:rsidP="004A764F">
      <w:pPr>
        <w:spacing w:line="360" w:lineRule="auto"/>
        <w:jc w:val="both"/>
        <w:rPr>
          <w:rFonts w:ascii="Palatino Linotype" w:hAnsi="Palatino Linotype" w:cs="Tahoma"/>
          <w:sz w:val="24"/>
          <w:szCs w:val="24"/>
        </w:rPr>
      </w:pPr>
      <w:r w:rsidRPr="0094029F">
        <w:rPr>
          <w:rFonts w:ascii="Palatino Linotype" w:hAnsi="Palatino Linotype" w:cs="Tahoma"/>
          <w:sz w:val="24"/>
          <w:szCs w:val="24"/>
        </w:rPr>
        <w:t>Debido a la cantidad de información y el periodo solicitado, el Ayuntamiento podrá conceder acceso a los documentos mediante consulta directa, en las oficinas del Sujeto Obligado, en términos de lo establecido en el artículo 158 de la Ley de Transparencia y Acceso a la información pública del estado de México y Municipios. Para ello, será necesario que indique dirección, horario de atención (días y horas hábiles), así como el nombre del servidor público que le atenderá.</w:t>
      </w:r>
    </w:p>
    <w:p w:rsidR="00964E10" w:rsidRPr="0094029F" w:rsidRDefault="00594E5C" w:rsidP="00E2755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szCs w:val="24"/>
        </w:rPr>
      </w:pPr>
      <w:r w:rsidRPr="0094029F">
        <w:rPr>
          <w:rFonts w:ascii="Palatino Linotype" w:eastAsia="Times New Roman" w:hAnsi="Palatino Linotype" w:cs="Arial"/>
          <w:sz w:val="24"/>
          <w:szCs w:val="24"/>
        </w:rPr>
        <w:t>Sin embargo esta ponencia observó que la resolución puntualmente indica lo siguiente</w:t>
      </w:r>
      <w:r w:rsidR="00434E1A" w:rsidRPr="0094029F">
        <w:rPr>
          <w:rFonts w:ascii="Palatino Linotype" w:eastAsia="Times New Roman" w:hAnsi="Palatino Linotype" w:cs="Arial"/>
          <w:sz w:val="24"/>
          <w:szCs w:val="24"/>
        </w:rPr>
        <w:t xml:space="preserve"> respecto </w:t>
      </w:r>
      <w:r w:rsidR="001A3506" w:rsidRPr="0094029F">
        <w:rPr>
          <w:rFonts w:ascii="Palatino Linotype" w:eastAsia="Times New Roman" w:hAnsi="Palatino Linotype" w:cs="Arial"/>
          <w:sz w:val="24"/>
          <w:szCs w:val="24"/>
        </w:rPr>
        <w:t>a</w:t>
      </w:r>
      <w:r w:rsidR="004A764F" w:rsidRPr="0094029F">
        <w:rPr>
          <w:rFonts w:ascii="Palatino Linotype" w:eastAsia="Times New Roman" w:hAnsi="Palatino Linotype" w:cs="Arial"/>
          <w:sz w:val="24"/>
          <w:szCs w:val="24"/>
        </w:rPr>
        <w:t xml:space="preserve"> </w:t>
      </w:r>
      <w:r w:rsidR="001A3506" w:rsidRPr="0094029F">
        <w:rPr>
          <w:rFonts w:ascii="Palatino Linotype" w:eastAsia="Times New Roman" w:hAnsi="Palatino Linotype" w:cs="Arial"/>
          <w:sz w:val="24"/>
          <w:szCs w:val="24"/>
        </w:rPr>
        <w:t>l</w:t>
      </w:r>
      <w:r w:rsidR="004A764F" w:rsidRPr="0094029F">
        <w:rPr>
          <w:rFonts w:ascii="Palatino Linotype" w:eastAsia="Times New Roman" w:hAnsi="Palatino Linotype" w:cs="Arial"/>
          <w:sz w:val="24"/>
          <w:szCs w:val="24"/>
        </w:rPr>
        <w:t>a</w:t>
      </w:r>
      <w:r w:rsidR="001A3506" w:rsidRPr="0094029F">
        <w:rPr>
          <w:rFonts w:ascii="Palatino Linotype" w:eastAsia="Times New Roman" w:hAnsi="Palatino Linotype" w:cs="Arial"/>
          <w:sz w:val="24"/>
          <w:szCs w:val="24"/>
        </w:rPr>
        <w:t xml:space="preserve"> </w:t>
      </w:r>
      <w:r w:rsidR="004A764F" w:rsidRPr="0094029F">
        <w:rPr>
          <w:rFonts w:ascii="Palatino Linotype" w:eastAsia="Times New Roman" w:hAnsi="Palatino Linotype" w:cs="Arial"/>
          <w:sz w:val="24"/>
          <w:szCs w:val="24"/>
        </w:rPr>
        <w:t>información solicitada</w:t>
      </w:r>
      <w:r w:rsidR="0041189B" w:rsidRPr="0094029F">
        <w:rPr>
          <w:rFonts w:ascii="Palatino Linotype" w:eastAsia="Times New Roman" w:hAnsi="Palatino Linotype" w:cs="Arial"/>
          <w:sz w:val="24"/>
          <w:szCs w:val="24"/>
        </w:rPr>
        <w:t>:</w:t>
      </w:r>
    </w:p>
    <w:p w:rsidR="00E23F1E" w:rsidRPr="0094029F" w:rsidRDefault="004A764F" w:rsidP="00817D08">
      <w:pPr>
        <w:pStyle w:val="Prrafodelista"/>
        <w:spacing w:before="120" w:after="120" w:line="360" w:lineRule="auto"/>
        <w:ind w:left="0" w:right="49"/>
        <w:jc w:val="both"/>
        <w:rPr>
          <w:rFonts w:ascii="Palatino Linotype" w:hAnsi="Palatino Linotype"/>
          <w:sz w:val="24"/>
          <w:szCs w:val="24"/>
        </w:rPr>
      </w:pPr>
      <w:r w:rsidRPr="0094029F">
        <w:rPr>
          <w:rFonts w:ascii="Palatino Linotype" w:eastAsia="Calibri" w:hAnsi="Palatino Linotype" w:cs="Tahoma"/>
          <w:bCs/>
          <w:sz w:val="24"/>
          <w:szCs w:val="24"/>
        </w:rPr>
        <w:t>Dentro del periodo comprendido del cinco de septiembre de dos mil diecisiete al treinta y uno de diciembre de dos mil diecisiete:</w:t>
      </w:r>
    </w:p>
    <w:p w:rsidR="004A764F" w:rsidRPr="0094029F" w:rsidRDefault="004A764F" w:rsidP="0016411E">
      <w:pPr>
        <w:pStyle w:val="Prrafodelista"/>
        <w:numPr>
          <w:ilvl w:val="0"/>
          <w:numId w:val="34"/>
        </w:numPr>
        <w:shd w:val="clear" w:color="auto" w:fill="FFFFFF" w:themeFill="background1"/>
        <w:spacing w:after="0" w:line="360" w:lineRule="auto"/>
        <w:ind w:left="709" w:hanging="425"/>
        <w:jc w:val="both"/>
        <w:rPr>
          <w:rFonts w:ascii="Palatino Linotype" w:eastAsia="Calibri" w:hAnsi="Palatino Linotype" w:cs="Tahoma"/>
          <w:bCs/>
          <w:sz w:val="24"/>
          <w:szCs w:val="24"/>
        </w:rPr>
      </w:pPr>
      <w:r w:rsidRPr="0094029F">
        <w:rPr>
          <w:rFonts w:ascii="Palatino Linotype" w:eastAsia="Calibri" w:hAnsi="Palatino Linotype" w:cs="Tahoma"/>
          <w:bCs/>
          <w:sz w:val="24"/>
          <w:szCs w:val="24"/>
        </w:rPr>
        <w:lastRenderedPageBreak/>
        <w:t xml:space="preserve">El organigrama vigente para ese, en caso de que fuera diferente al del año dos mil dieciocho, en caso de que no existan modificaciones </w:t>
      </w:r>
      <w:r w:rsidRPr="0094029F">
        <w:rPr>
          <w:rFonts w:ascii="Palatino Linotype" w:hAnsi="Palatino Linotype" w:cs="Tahoma"/>
          <w:sz w:val="24"/>
          <w:szCs w:val="24"/>
        </w:rPr>
        <w:t>bastará con que así lo indique.</w:t>
      </w:r>
    </w:p>
    <w:p w:rsidR="004A764F" w:rsidRPr="0094029F" w:rsidRDefault="004A764F" w:rsidP="0016411E">
      <w:pPr>
        <w:pStyle w:val="Prrafodelista"/>
        <w:numPr>
          <w:ilvl w:val="0"/>
          <w:numId w:val="34"/>
        </w:numPr>
        <w:shd w:val="clear" w:color="auto" w:fill="FFFFFF" w:themeFill="background1"/>
        <w:spacing w:after="0" w:line="360" w:lineRule="auto"/>
        <w:ind w:left="709" w:hanging="425"/>
        <w:jc w:val="both"/>
        <w:rPr>
          <w:rFonts w:ascii="Palatino Linotype" w:eastAsia="Calibri" w:hAnsi="Palatino Linotype" w:cs="Tahoma"/>
          <w:bCs/>
          <w:sz w:val="24"/>
          <w:szCs w:val="24"/>
        </w:rPr>
      </w:pPr>
      <w:r w:rsidRPr="0094029F">
        <w:rPr>
          <w:rFonts w:ascii="Palatino Linotype" w:eastAsia="Calibri" w:hAnsi="Palatino Linotype" w:cs="Tahoma"/>
          <w:bCs/>
          <w:sz w:val="24"/>
          <w:szCs w:val="24"/>
        </w:rPr>
        <w:t xml:space="preserve">Las remuneraciones; </w:t>
      </w:r>
      <w:r w:rsidRPr="0094029F">
        <w:rPr>
          <w:rFonts w:ascii="Palatino Linotype" w:hAnsi="Palatino Linotype" w:cs="Tahoma"/>
          <w:sz w:val="24"/>
          <w:szCs w:val="24"/>
        </w:rPr>
        <w:t>en caso de que exista información susceptible de actualizar</w:t>
      </w:r>
    </w:p>
    <w:p w:rsidR="004A764F" w:rsidRPr="0094029F" w:rsidRDefault="004A764F" w:rsidP="0016411E">
      <w:pPr>
        <w:pStyle w:val="Prrafodelista"/>
        <w:numPr>
          <w:ilvl w:val="0"/>
          <w:numId w:val="34"/>
        </w:numPr>
        <w:spacing w:after="0" w:line="360" w:lineRule="auto"/>
        <w:ind w:left="709" w:hanging="425"/>
        <w:jc w:val="both"/>
        <w:rPr>
          <w:rFonts w:ascii="Palatino Linotype" w:hAnsi="Palatino Linotype" w:cs="Tahoma"/>
          <w:sz w:val="24"/>
          <w:szCs w:val="24"/>
        </w:rPr>
      </w:pPr>
      <w:r w:rsidRPr="0094029F">
        <w:rPr>
          <w:rFonts w:ascii="Palatino Linotype" w:hAnsi="Palatino Linotype" w:cs="Tahoma"/>
          <w:sz w:val="24"/>
          <w:szCs w:val="24"/>
        </w:rPr>
        <w:t>Las plazas vacantes, en caso de que durante ese año no haya contado con plazas vacantes, bastará con que así lo indique.</w:t>
      </w:r>
    </w:p>
    <w:p w:rsidR="004A764F" w:rsidRPr="0094029F" w:rsidRDefault="004A764F" w:rsidP="0016411E">
      <w:pPr>
        <w:pStyle w:val="Prrafodelista"/>
        <w:numPr>
          <w:ilvl w:val="0"/>
          <w:numId w:val="36"/>
        </w:numPr>
        <w:spacing w:after="0" w:line="360" w:lineRule="auto"/>
        <w:ind w:left="709" w:hanging="425"/>
        <w:jc w:val="both"/>
        <w:rPr>
          <w:rFonts w:ascii="Palatino Linotype" w:hAnsi="Palatino Linotype" w:cs="Tahoma"/>
          <w:sz w:val="24"/>
          <w:szCs w:val="24"/>
        </w:rPr>
      </w:pPr>
      <w:r w:rsidRPr="0094029F">
        <w:rPr>
          <w:rFonts w:ascii="Palatino Linotype" w:hAnsi="Palatino Linotype" w:cs="Tahoma"/>
          <w:sz w:val="24"/>
          <w:szCs w:val="24"/>
        </w:rPr>
        <w:t>Resultados de auditorías realizadas, en caso de que la información no se hubiera generado, bastará con que así lo indique.</w:t>
      </w:r>
    </w:p>
    <w:p w:rsidR="004A764F" w:rsidRPr="0094029F" w:rsidRDefault="004A764F" w:rsidP="0016411E">
      <w:pPr>
        <w:pStyle w:val="Prrafodelista"/>
        <w:numPr>
          <w:ilvl w:val="0"/>
          <w:numId w:val="37"/>
        </w:numPr>
        <w:spacing w:after="0" w:line="360" w:lineRule="auto"/>
        <w:ind w:left="709" w:hanging="425"/>
        <w:jc w:val="both"/>
        <w:rPr>
          <w:rFonts w:ascii="Palatino Linotype" w:hAnsi="Palatino Linotype" w:cs="Tahoma"/>
          <w:sz w:val="24"/>
          <w:szCs w:val="24"/>
        </w:rPr>
      </w:pPr>
      <w:r w:rsidRPr="0094029F">
        <w:rPr>
          <w:rFonts w:ascii="Palatino Linotype" w:hAnsi="Palatino Linotype" w:cs="Tahoma"/>
          <w:sz w:val="24"/>
          <w:szCs w:val="24"/>
        </w:rPr>
        <w:t>Inventario sobre bienes muebles e inmuebles donados, en caso de que durante estos dos años no se hayan realizado donaciones, bastara con que así lo indique.</w:t>
      </w:r>
    </w:p>
    <w:p w:rsidR="004A764F" w:rsidRPr="0094029F" w:rsidRDefault="004A764F" w:rsidP="0016411E">
      <w:pPr>
        <w:pStyle w:val="Prrafodelista"/>
        <w:numPr>
          <w:ilvl w:val="0"/>
          <w:numId w:val="37"/>
        </w:numPr>
        <w:spacing w:after="0" w:line="360" w:lineRule="auto"/>
        <w:ind w:left="709" w:hanging="425"/>
        <w:jc w:val="both"/>
        <w:rPr>
          <w:rFonts w:ascii="Palatino Linotype" w:hAnsi="Palatino Linotype" w:cs="Tahoma"/>
          <w:sz w:val="24"/>
          <w:szCs w:val="24"/>
        </w:rPr>
      </w:pPr>
      <w:r w:rsidRPr="0094029F">
        <w:rPr>
          <w:rFonts w:ascii="Palatino Linotype" w:hAnsi="Palatino Linotype" w:cs="Tahoma"/>
          <w:sz w:val="24"/>
          <w:szCs w:val="24"/>
        </w:rPr>
        <w:t>Programas que ha ofrecido, en caso de que no cuente con programas, bastará con que así lo indique.</w:t>
      </w:r>
    </w:p>
    <w:p w:rsidR="004A764F" w:rsidRDefault="004A764F" w:rsidP="004A764F">
      <w:pPr>
        <w:pStyle w:val="Prrafodelista"/>
        <w:numPr>
          <w:ilvl w:val="0"/>
          <w:numId w:val="38"/>
        </w:numPr>
        <w:spacing w:after="0" w:line="360" w:lineRule="auto"/>
        <w:ind w:left="709" w:hanging="425"/>
        <w:jc w:val="both"/>
        <w:rPr>
          <w:rFonts w:ascii="Palatino Linotype" w:hAnsi="Palatino Linotype" w:cs="Tahoma"/>
          <w:sz w:val="24"/>
          <w:szCs w:val="24"/>
        </w:rPr>
      </w:pPr>
      <w:r w:rsidRPr="0094029F">
        <w:rPr>
          <w:rFonts w:ascii="Palatino Linotype" w:hAnsi="Palatino Linotype" w:cs="Tahoma"/>
          <w:sz w:val="24"/>
          <w:szCs w:val="24"/>
        </w:rPr>
        <w:t>Cancelaciones y condonaciones; Contribuyentes que recibieron cancelación o condonación de créditos fiscales y Estadísticas sobre exenciones. En caso de que en el periodo solicitado no se hayan autorizado cancelaciones o condonaciones, bastará con que así lo indique.</w:t>
      </w:r>
    </w:p>
    <w:p w:rsidR="0094029F" w:rsidRPr="0094029F" w:rsidRDefault="0094029F" w:rsidP="0094029F">
      <w:pPr>
        <w:pStyle w:val="Prrafodelista"/>
        <w:spacing w:after="0" w:line="360" w:lineRule="auto"/>
        <w:ind w:left="709"/>
        <w:jc w:val="both"/>
        <w:rPr>
          <w:rFonts w:ascii="Palatino Linotype" w:hAnsi="Palatino Linotype" w:cs="Tahoma"/>
          <w:sz w:val="24"/>
          <w:szCs w:val="24"/>
        </w:rPr>
      </w:pPr>
    </w:p>
    <w:p w:rsidR="004A764F" w:rsidRPr="0094029F" w:rsidRDefault="004A764F" w:rsidP="00817D08">
      <w:pPr>
        <w:shd w:val="clear" w:color="auto" w:fill="FFFFFF" w:themeFill="background1"/>
        <w:spacing w:line="360" w:lineRule="auto"/>
        <w:jc w:val="both"/>
        <w:rPr>
          <w:rFonts w:ascii="Palatino Linotype" w:eastAsia="Calibri" w:hAnsi="Palatino Linotype" w:cs="Tahoma"/>
          <w:bCs/>
          <w:sz w:val="24"/>
          <w:szCs w:val="24"/>
        </w:rPr>
      </w:pPr>
      <w:r w:rsidRPr="0094029F">
        <w:rPr>
          <w:rFonts w:ascii="Palatino Linotype" w:eastAsia="Calibri" w:hAnsi="Palatino Linotype" w:cs="Tahoma"/>
          <w:bCs/>
          <w:sz w:val="24"/>
          <w:szCs w:val="24"/>
        </w:rPr>
        <w:t>Dentro del periodo comprendido del primero de enero de dos mil dieciocho al once de septiembre de dos mil dieciocho:</w:t>
      </w:r>
    </w:p>
    <w:p w:rsidR="004A764F" w:rsidRPr="0094029F" w:rsidRDefault="004A764F" w:rsidP="00EB1657">
      <w:pPr>
        <w:pStyle w:val="Prrafodelista"/>
        <w:numPr>
          <w:ilvl w:val="0"/>
          <w:numId w:val="39"/>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lastRenderedPageBreak/>
        <w:t>Las plazas vacantes, en caso de que durante ese año no haya contado con plazas vacantes, bastará con que así lo indique.</w:t>
      </w:r>
    </w:p>
    <w:p w:rsidR="004A764F" w:rsidRPr="0094029F" w:rsidRDefault="004A764F" w:rsidP="00EB1657">
      <w:pPr>
        <w:pStyle w:val="Prrafodelista"/>
        <w:numPr>
          <w:ilvl w:val="0"/>
          <w:numId w:val="40"/>
        </w:numPr>
        <w:spacing w:after="0" w:line="360" w:lineRule="auto"/>
        <w:jc w:val="both"/>
        <w:rPr>
          <w:rFonts w:ascii="Palatino Linotype" w:hAnsi="Palatino Linotype" w:cs="Tahoma"/>
          <w:sz w:val="24"/>
          <w:szCs w:val="24"/>
        </w:rPr>
      </w:pPr>
      <w:r w:rsidRPr="0094029F">
        <w:rPr>
          <w:rFonts w:ascii="Palatino Linotype" w:hAnsi="Palatino Linotype" w:cs="Tahoma"/>
          <w:sz w:val="24"/>
          <w:szCs w:val="24"/>
        </w:rPr>
        <w:t>Resultados de auditorías realizadas, en caso de que la información no se hubiera generado, bastará con que así lo indique.</w:t>
      </w:r>
    </w:p>
    <w:p w:rsidR="004A764F" w:rsidRPr="0094029F" w:rsidRDefault="004A764F" w:rsidP="006933D3">
      <w:pPr>
        <w:pStyle w:val="Prrafodelista"/>
        <w:numPr>
          <w:ilvl w:val="0"/>
          <w:numId w:val="41"/>
        </w:numPr>
        <w:spacing w:after="0" w:line="360" w:lineRule="auto"/>
        <w:ind w:left="709" w:hanging="425"/>
        <w:jc w:val="both"/>
        <w:rPr>
          <w:rFonts w:ascii="Palatino Linotype" w:hAnsi="Palatino Linotype" w:cs="Tahoma"/>
          <w:sz w:val="24"/>
          <w:szCs w:val="24"/>
        </w:rPr>
      </w:pPr>
      <w:r w:rsidRPr="0094029F">
        <w:rPr>
          <w:rFonts w:ascii="Palatino Linotype" w:hAnsi="Palatino Linotype" w:cs="Tahoma"/>
          <w:sz w:val="24"/>
          <w:szCs w:val="24"/>
        </w:rPr>
        <w:t>Programas que ha ofrecido, en caso de que no cuente con programas, bastará con que así lo indique.</w:t>
      </w:r>
    </w:p>
    <w:p w:rsidR="004A764F" w:rsidRPr="0094029F" w:rsidRDefault="004A764F" w:rsidP="006933D3">
      <w:pPr>
        <w:pStyle w:val="Prrafodelista"/>
        <w:numPr>
          <w:ilvl w:val="0"/>
          <w:numId w:val="42"/>
        </w:numPr>
        <w:tabs>
          <w:tab w:val="left" w:pos="709"/>
        </w:tabs>
        <w:spacing w:after="0" w:line="360" w:lineRule="auto"/>
        <w:ind w:left="709" w:hanging="425"/>
        <w:jc w:val="both"/>
        <w:rPr>
          <w:rFonts w:ascii="Palatino Linotype" w:hAnsi="Palatino Linotype" w:cs="Tahoma"/>
          <w:sz w:val="24"/>
          <w:szCs w:val="24"/>
        </w:rPr>
      </w:pPr>
      <w:r w:rsidRPr="0094029F">
        <w:rPr>
          <w:rFonts w:ascii="Palatino Linotype" w:hAnsi="Palatino Linotype" w:cs="Tahoma"/>
          <w:sz w:val="24"/>
          <w:szCs w:val="24"/>
        </w:rPr>
        <w:t>Cancelaciones y condonaciones; Contribuyentes que recibieron cancelación o condonación de créditos fiscales y Estadísticas sobre exenciones. En caso de que en el periodo solicitado no se hayan autorizado cancelaciones o condonaciones, bastará con que así lo indique.</w:t>
      </w:r>
    </w:p>
    <w:p w:rsidR="00964E10" w:rsidRPr="00964E10" w:rsidRDefault="00964E10" w:rsidP="00E27554">
      <w:pPr>
        <w:pStyle w:val="Prrafodelista"/>
        <w:spacing w:before="240" w:after="240" w:line="360" w:lineRule="auto"/>
        <w:ind w:left="0" w:right="49"/>
        <w:jc w:val="both"/>
        <w:rPr>
          <w:rFonts w:ascii="Palatino Linotype" w:eastAsia="Times New Roman" w:hAnsi="Palatino Linotype" w:cs="Arial"/>
        </w:rPr>
      </w:pPr>
    </w:p>
    <w:p w:rsidR="00C602B8" w:rsidRPr="00C602B8" w:rsidRDefault="00594E5C" w:rsidP="0094029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6933D3">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35154357"/>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6933D3">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lastRenderedPageBreak/>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6933D3">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Otorga a todos los documentos en posesión de las autoridades la calidad de públicos y únicamente pueden ser reservados temporalmente </w:t>
      </w:r>
      <w:r w:rsidRPr="00427B79">
        <w:rPr>
          <w:rFonts w:ascii="Palatino Linotype" w:hAnsi="Palatino Linotype" w:cs="Arial"/>
          <w:bCs/>
          <w:color w:val="000000" w:themeColor="text1"/>
          <w:sz w:val="24"/>
          <w:szCs w:val="24"/>
        </w:rPr>
        <w:lastRenderedPageBreak/>
        <w:t>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6933D3">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6933D3">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w:t>
      </w:r>
      <w:r w:rsidRPr="00427B79">
        <w:rPr>
          <w:rFonts w:ascii="Palatino Linotype" w:hAnsi="Palatino Linotype"/>
          <w:sz w:val="24"/>
          <w:szCs w:val="24"/>
        </w:rPr>
        <w:lastRenderedPageBreak/>
        <w:t>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6933D3">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6933D3">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6933D3">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w:t>
      </w:r>
      <w:r w:rsidRPr="00427B79">
        <w:rPr>
          <w:rFonts w:ascii="Palatino Linotype" w:hAnsi="Palatino Linotype"/>
          <w:sz w:val="24"/>
          <w:szCs w:val="24"/>
        </w:rPr>
        <w:lastRenderedPageBreak/>
        <w:t>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6933D3">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6933D3">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6933D3">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6933D3">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6933D3">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6933D3">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535154358"/>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6933D3">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6933D3">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6933D3">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6933D3">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6933D3">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6933D3">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6933D3">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6933D3">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6933D3">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6933D3">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6933D3">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6933D3">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6933D3">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6933D3">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6933D3">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6933D3">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w:t>
      </w:r>
      <w:r w:rsidRPr="00B21F85">
        <w:rPr>
          <w:rFonts w:ascii="Palatino Linotype" w:hAnsi="Palatino Linotype"/>
          <w:sz w:val="24"/>
          <w:szCs w:val="24"/>
        </w:rPr>
        <w:lastRenderedPageBreak/>
        <w:t xml:space="preserve">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6933D3">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 xml:space="preserve">aprobar </w:t>
      </w:r>
      <w:r w:rsidRPr="00450598">
        <w:rPr>
          <w:rFonts w:ascii="Palatino Linotype" w:hAnsi="Palatino Linotype" w:cs="Arial"/>
          <w:sz w:val="24"/>
          <w:szCs w:val="24"/>
          <w:u w:val="single"/>
        </w:rPr>
        <w:lastRenderedPageBreak/>
        <w:t>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6933D3">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6933D3">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w:t>
      </w:r>
      <w:r w:rsidRPr="00450598">
        <w:rPr>
          <w:rFonts w:ascii="Palatino Linotype" w:hAnsi="Palatino Linotype" w:cs="Arial"/>
          <w:sz w:val="24"/>
          <w:szCs w:val="24"/>
        </w:rPr>
        <w:lastRenderedPageBreak/>
        <w:t>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6933D3">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w:t>
      </w:r>
      <w:r w:rsidRPr="00B21F85">
        <w:rPr>
          <w:rFonts w:ascii="Palatino Linotype" w:hAnsi="Palatino Linotype"/>
          <w:sz w:val="24"/>
          <w:szCs w:val="24"/>
        </w:rPr>
        <w:lastRenderedPageBreak/>
        <w:t xml:space="preserve">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6933D3">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w:t>
      </w:r>
      <w:proofErr w:type="spellStart"/>
      <w:r w:rsidRPr="00B21F85">
        <w:rPr>
          <w:rFonts w:ascii="Palatino Linotype" w:hAnsi="Palatino Linotype"/>
          <w:i/>
          <w:sz w:val="24"/>
          <w:szCs w:val="24"/>
        </w:rPr>
        <w:t>prae-sumere</w:t>
      </w:r>
      <w:proofErr w:type="spellEnd"/>
      <w:r w:rsidRPr="00B21F85">
        <w:rPr>
          <w:rFonts w:ascii="Palatino Linotype" w:hAnsi="Palatino Linotype"/>
          <w:i/>
          <w:sz w:val="24"/>
          <w:szCs w:val="24"/>
        </w:rPr>
        <w:t>”,</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6933D3">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6933D3">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6933D3">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6933D3">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6933D3">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w:t>
      </w:r>
      <w:r w:rsidRPr="00B21F85">
        <w:rPr>
          <w:rFonts w:ascii="Palatino Linotype" w:hAnsi="Palatino Linotype"/>
          <w:sz w:val="24"/>
          <w:szCs w:val="24"/>
        </w:rPr>
        <w:lastRenderedPageBreak/>
        <w:t>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6933D3">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6933D3">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6933D3">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6933D3">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6933D3">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6933D3">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w:t>
      </w:r>
      <w:r w:rsidRPr="00B21F85">
        <w:rPr>
          <w:rFonts w:ascii="Palatino Linotype" w:hAnsi="Palatino Linotype"/>
          <w:sz w:val="24"/>
          <w:szCs w:val="24"/>
        </w:rPr>
        <w:lastRenderedPageBreak/>
        <w:t xml:space="preserve">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6933D3">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6933D3">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6933D3">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lastRenderedPageBreak/>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B21F85" w:rsidRPr="00B21F85" w:rsidRDefault="00483418" w:rsidP="006933D3">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B21F85">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competencias o funciones para generar, poseer o administrar la documentación solicitada no lo hizo.</w:t>
      </w:r>
    </w:p>
    <w:p w:rsidR="00B21F85" w:rsidRDefault="00B21F85" w:rsidP="00B21F85">
      <w:pPr>
        <w:spacing w:after="0" w:line="360" w:lineRule="auto"/>
        <w:contextualSpacing/>
        <w:jc w:val="both"/>
        <w:rPr>
          <w:rFonts w:ascii="Palatino Linotype" w:hAnsi="Palatino Linotype"/>
          <w:sz w:val="24"/>
          <w:szCs w:val="24"/>
          <w:highlight w:val="cyan"/>
        </w:rPr>
      </w:pPr>
    </w:p>
    <w:p w:rsidR="00AC1C08" w:rsidRDefault="00AC1C08" w:rsidP="00B21F85">
      <w:pPr>
        <w:spacing w:after="0" w:line="360" w:lineRule="auto"/>
        <w:contextualSpacing/>
        <w:jc w:val="both"/>
        <w:rPr>
          <w:rFonts w:ascii="Palatino Linotype" w:hAnsi="Palatino Linotype"/>
          <w:sz w:val="24"/>
          <w:szCs w:val="24"/>
          <w:highlight w:val="cyan"/>
        </w:rPr>
      </w:pPr>
    </w:p>
    <w:p w:rsidR="00AC1C08" w:rsidRDefault="00AC1C08" w:rsidP="00B21F85">
      <w:pPr>
        <w:spacing w:after="0" w:line="360" w:lineRule="auto"/>
        <w:contextualSpacing/>
        <w:jc w:val="both"/>
        <w:rPr>
          <w:rFonts w:ascii="Palatino Linotype" w:hAnsi="Palatino Linotype"/>
          <w:sz w:val="24"/>
          <w:szCs w:val="24"/>
          <w:highlight w:val="cyan"/>
        </w:rPr>
      </w:pPr>
    </w:p>
    <w:p w:rsidR="00AC1C08" w:rsidRDefault="00AC1C08" w:rsidP="00B21F85">
      <w:pPr>
        <w:spacing w:after="0" w:line="360" w:lineRule="auto"/>
        <w:contextualSpacing/>
        <w:jc w:val="both"/>
        <w:rPr>
          <w:rFonts w:ascii="Palatino Linotype" w:hAnsi="Palatino Linotype"/>
          <w:sz w:val="24"/>
          <w:szCs w:val="24"/>
          <w:highlight w:val="cyan"/>
        </w:rPr>
      </w:pPr>
    </w:p>
    <w:p w:rsidR="00AC1C08" w:rsidRDefault="00AC1C08" w:rsidP="00B21F85">
      <w:pPr>
        <w:spacing w:after="0" w:line="360" w:lineRule="auto"/>
        <w:contextualSpacing/>
        <w:jc w:val="both"/>
        <w:rPr>
          <w:rFonts w:ascii="Palatino Linotype" w:hAnsi="Palatino Linotype"/>
          <w:sz w:val="24"/>
          <w:szCs w:val="24"/>
          <w:highlight w:val="cyan"/>
        </w:rPr>
      </w:pPr>
    </w:p>
    <w:p w:rsidR="00AC1C08" w:rsidRDefault="00AC1C08" w:rsidP="00B21F85">
      <w:pPr>
        <w:spacing w:after="0" w:line="360" w:lineRule="auto"/>
        <w:contextualSpacing/>
        <w:jc w:val="both"/>
        <w:rPr>
          <w:rFonts w:ascii="Palatino Linotype" w:hAnsi="Palatino Linotype"/>
          <w:sz w:val="24"/>
          <w:szCs w:val="24"/>
          <w:highlight w:val="cyan"/>
        </w:rPr>
      </w:pPr>
    </w:p>
    <w:p w:rsidR="00AC1C08" w:rsidRDefault="00AC1C08" w:rsidP="00B21F85">
      <w:pPr>
        <w:spacing w:after="0" w:line="360" w:lineRule="auto"/>
        <w:contextualSpacing/>
        <w:jc w:val="both"/>
        <w:rPr>
          <w:rFonts w:ascii="Palatino Linotype" w:hAnsi="Palatino Linotype"/>
          <w:sz w:val="24"/>
          <w:szCs w:val="24"/>
          <w:highlight w:val="cyan"/>
        </w:rPr>
      </w:pPr>
    </w:p>
    <w:p w:rsidR="00AC1C08" w:rsidRDefault="00AC1C08" w:rsidP="00B21F85">
      <w:pPr>
        <w:spacing w:after="0" w:line="360" w:lineRule="auto"/>
        <w:contextualSpacing/>
        <w:jc w:val="both"/>
        <w:rPr>
          <w:rFonts w:ascii="Palatino Linotype" w:hAnsi="Palatino Linotype"/>
          <w:sz w:val="24"/>
          <w:szCs w:val="24"/>
          <w:highlight w:val="cyan"/>
        </w:rPr>
      </w:pPr>
    </w:p>
    <w:p w:rsidR="00AC1C08" w:rsidRDefault="00AC1C08" w:rsidP="00B21F85">
      <w:pPr>
        <w:spacing w:after="0" w:line="360" w:lineRule="auto"/>
        <w:contextualSpacing/>
        <w:jc w:val="both"/>
        <w:rPr>
          <w:rFonts w:ascii="Palatino Linotype" w:hAnsi="Palatino Linotype"/>
          <w:sz w:val="24"/>
          <w:szCs w:val="24"/>
          <w:highlight w:val="cyan"/>
        </w:rPr>
      </w:pPr>
    </w:p>
    <w:p w:rsidR="00AC1C08" w:rsidRPr="00483418" w:rsidRDefault="00AC1C08" w:rsidP="00B21F85">
      <w:pPr>
        <w:spacing w:after="0" w:line="360" w:lineRule="auto"/>
        <w:contextualSpacing/>
        <w:jc w:val="both"/>
        <w:rPr>
          <w:rFonts w:ascii="Palatino Linotype" w:hAnsi="Palatino Linotype"/>
          <w:sz w:val="24"/>
          <w:szCs w:val="24"/>
          <w:highlight w:val="cyan"/>
        </w:rPr>
      </w:pPr>
      <w:bookmarkStart w:id="5" w:name="_GoBack"/>
      <w:bookmarkEnd w:id="5"/>
    </w:p>
    <w:p w:rsidR="00E6179D" w:rsidRPr="0083488C" w:rsidRDefault="00CD53CB" w:rsidP="00CD53CB">
      <w:pPr>
        <w:pStyle w:val="Ttulo1"/>
        <w:rPr>
          <w:rFonts w:eastAsia="Calibri"/>
          <w:szCs w:val="24"/>
        </w:rPr>
      </w:pPr>
      <w:bookmarkStart w:id="6" w:name="_Toc535154359"/>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6933D3">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C1C08">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C1C08">
              <w:rPr>
                <w:b/>
                <w:bCs/>
                <w:noProof/>
              </w:rPr>
              <w:t>35</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w:t>
      </w:r>
      <w:proofErr w:type="spellStart"/>
      <w:r>
        <w:t>pag</w:t>
      </w:r>
      <w:proofErr w:type="spellEnd"/>
      <w:r>
        <w:t xml:space="preserve">.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C1C0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C1C0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C1C0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013BA4"/>
    <w:multiLevelType w:val="hybridMultilevel"/>
    <w:tmpl w:val="0CFEB0E4"/>
    <w:lvl w:ilvl="0" w:tplc="7F2C250E">
      <w:start w:val="3"/>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B5509D"/>
    <w:multiLevelType w:val="hybridMultilevel"/>
    <w:tmpl w:val="1E888F12"/>
    <w:lvl w:ilvl="0" w:tplc="8D883394">
      <w:start w:val="17"/>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7B7A70"/>
    <w:multiLevelType w:val="hybridMultilevel"/>
    <w:tmpl w:val="127A28A8"/>
    <w:lvl w:ilvl="0" w:tplc="790403BE">
      <w:start w:val="2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14F2F86"/>
    <w:multiLevelType w:val="hybridMultilevel"/>
    <w:tmpl w:val="C90450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8">
    <w:nsid w:val="44123C50"/>
    <w:multiLevelType w:val="hybridMultilevel"/>
    <w:tmpl w:val="02585944"/>
    <w:lvl w:ilvl="0" w:tplc="BE24FD68">
      <w:start w:val="14"/>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B066DD"/>
    <w:multiLevelType w:val="hybridMultilevel"/>
    <w:tmpl w:val="62C8F0C8"/>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D4509E2"/>
    <w:multiLevelType w:val="hybridMultilevel"/>
    <w:tmpl w:val="6512E9A2"/>
    <w:lvl w:ilvl="0" w:tplc="21423F72">
      <w:start w:val="19"/>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6">
    <w:nsid w:val="4D480BF2"/>
    <w:multiLevelType w:val="hybridMultilevel"/>
    <w:tmpl w:val="86B67EFC"/>
    <w:lvl w:ilvl="0" w:tplc="4EEE5D8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4FA356AC"/>
    <w:multiLevelType w:val="hybridMultilevel"/>
    <w:tmpl w:val="2EA27C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nsid w:val="68710DB9"/>
    <w:multiLevelType w:val="hybridMultilevel"/>
    <w:tmpl w:val="20F0DB4E"/>
    <w:lvl w:ilvl="0" w:tplc="DB200D14">
      <w:start w:val="16"/>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3">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747085"/>
    <w:multiLevelType w:val="hybridMultilevel"/>
    <w:tmpl w:val="C9100FB0"/>
    <w:lvl w:ilvl="0" w:tplc="080A000F">
      <w:start w:val="1"/>
      <w:numFmt w:val="decimal"/>
      <w:lvlText w:val="%1."/>
      <w:lvlJc w:val="left"/>
      <w:pPr>
        <w:ind w:left="3338"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30"/>
  </w:num>
  <w:num w:numId="3">
    <w:abstractNumId w:val="4"/>
  </w:num>
  <w:num w:numId="4">
    <w:abstractNumId w:val="38"/>
  </w:num>
  <w:num w:numId="5">
    <w:abstractNumId w:val="0"/>
  </w:num>
  <w:num w:numId="6">
    <w:abstractNumId w:val="2"/>
  </w:num>
  <w:num w:numId="7">
    <w:abstractNumId w:val="15"/>
  </w:num>
  <w:num w:numId="8">
    <w:abstractNumId w:val="20"/>
  </w:num>
  <w:num w:numId="9">
    <w:abstractNumId w:val="33"/>
  </w:num>
  <w:num w:numId="10">
    <w:abstractNumId w:val="17"/>
  </w:num>
  <w:num w:numId="11">
    <w:abstractNumId w:val="24"/>
  </w:num>
  <w:num w:numId="12">
    <w:abstractNumId w:val="9"/>
  </w:num>
  <w:num w:numId="13">
    <w:abstractNumId w:val="40"/>
  </w:num>
  <w:num w:numId="14">
    <w:abstractNumId w:val="39"/>
  </w:num>
  <w:num w:numId="15">
    <w:abstractNumId w:val="3"/>
  </w:num>
  <w:num w:numId="16">
    <w:abstractNumId w:val="14"/>
  </w:num>
  <w:num w:numId="17">
    <w:abstractNumId w:val="8"/>
  </w:num>
  <w:num w:numId="18">
    <w:abstractNumId w:val="11"/>
  </w:num>
  <w:num w:numId="19">
    <w:abstractNumId w:val="22"/>
  </w:num>
  <w:num w:numId="20">
    <w:abstractNumId w:val="7"/>
  </w:num>
  <w:num w:numId="21">
    <w:abstractNumId w:val="13"/>
  </w:num>
  <w:num w:numId="22">
    <w:abstractNumId w:val="35"/>
  </w:num>
  <w:num w:numId="23">
    <w:abstractNumId w:val="21"/>
  </w:num>
  <w:num w:numId="24">
    <w:abstractNumId w:val="5"/>
  </w:num>
  <w:num w:numId="25">
    <w:abstractNumId w:val="36"/>
  </w:num>
  <w:num w:numId="26">
    <w:abstractNumId w:val="28"/>
  </w:num>
  <w:num w:numId="27">
    <w:abstractNumId w:val="31"/>
  </w:num>
  <w:num w:numId="28">
    <w:abstractNumId w:val="19"/>
  </w:num>
  <w:num w:numId="29">
    <w:abstractNumId w:val="34"/>
  </w:num>
  <w:num w:numId="30">
    <w:abstractNumId w:val="41"/>
  </w:num>
  <w:num w:numId="31">
    <w:abstractNumId w:val="12"/>
  </w:num>
  <w:num w:numId="32">
    <w:abstractNumId w:val="37"/>
  </w:num>
  <w:num w:numId="33">
    <w:abstractNumId w:val="16"/>
  </w:num>
  <w:num w:numId="34">
    <w:abstractNumId w:val="26"/>
  </w:num>
  <w:num w:numId="35">
    <w:abstractNumId w:val="1"/>
  </w:num>
  <w:num w:numId="36">
    <w:abstractNumId w:val="18"/>
  </w:num>
  <w:num w:numId="37">
    <w:abstractNumId w:val="32"/>
  </w:num>
  <w:num w:numId="38">
    <w:abstractNumId w:val="25"/>
  </w:num>
  <w:num w:numId="39">
    <w:abstractNumId w:val="27"/>
  </w:num>
  <w:num w:numId="40">
    <w:abstractNumId w:val="23"/>
  </w:num>
  <w:num w:numId="41">
    <w:abstractNumId w:val="6"/>
  </w:num>
  <w:num w:numId="4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1C0C"/>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78CD"/>
    <w:rsid w:val="000E1ACA"/>
    <w:rsid w:val="000E4D6E"/>
    <w:rsid w:val="000F28DB"/>
    <w:rsid w:val="000F6EC0"/>
    <w:rsid w:val="00102360"/>
    <w:rsid w:val="00113C80"/>
    <w:rsid w:val="00113E8A"/>
    <w:rsid w:val="001240A5"/>
    <w:rsid w:val="00147D04"/>
    <w:rsid w:val="0016014E"/>
    <w:rsid w:val="001604B4"/>
    <w:rsid w:val="0016411E"/>
    <w:rsid w:val="0016671B"/>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A764F"/>
    <w:rsid w:val="004C57A6"/>
    <w:rsid w:val="004D772F"/>
    <w:rsid w:val="004F3ABB"/>
    <w:rsid w:val="004F4DA5"/>
    <w:rsid w:val="00501D40"/>
    <w:rsid w:val="00510EE4"/>
    <w:rsid w:val="00516AB8"/>
    <w:rsid w:val="00522308"/>
    <w:rsid w:val="0052306C"/>
    <w:rsid w:val="005441DE"/>
    <w:rsid w:val="005503D3"/>
    <w:rsid w:val="00554B28"/>
    <w:rsid w:val="005556CA"/>
    <w:rsid w:val="005565CE"/>
    <w:rsid w:val="005650D9"/>
    <w:rsid w:val="00567957"/>
    <w:rsid w:val="005905A5"/>
    <w:rsid w:val="00590C2D"/>
    <w:rsid w:val="00594E5C"/>
    <w:rsid w:val="005A2F43"/>
    <w:rsid w:val="005A5C01"/>
    <w:rsid w:val="005C0258"/>
    <w:rsid w:val="005C5909"/>
    <w:rsid w:val="005D0118"/>
    <w:rsid w:val="005E5192"/>
    <w:rsid w:val="005F30BC"/>
    <w:rsid w:val="005F3E96"/>
    <w:rsid w:val="005F4E8B"/>
    <w:rsid w:val="00611694"/>
    <w:rsid w:val="0061188C"/>
    <w:rsid w:val="00617ACF"/>
    <w:rsid w:val="006262ED"/>
    <w:rsid w:val="006319DC"/>
    <w:rsid w:val="00645585"/>
    <w:rsid w:val="006562FF"/>
    <w:rsid w:val="00673029"/>
    <w:rsid w:val="00676187"/>
    <w:rsid w:val="00680533"/>
    <w:rsid w:val="006864CA"/>
    <w:rsid w:val="006933D3"/>
    <w:rsid w:val="006937EC"/>
    <w:rsid w:val="006951FC"/>
    <w:rsid w:val="006A0BDD"/>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304C"/>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17D08"/>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30786"/>
    <w:rsid w:val="0093474A"/>
    <w:rsid w:val="0094029F"/>
    <w:rsid w:val="00945937"/>
    <w:rsid w:val="00950BDB"/>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1C08"/>
    <w:rsid w:val="00AC4FE5"/>
    <w:rsid w:val="00AC640A"/>
    <w:rsid w:val="00AD1BEF"/>
    <w:rsid w:val="00AD4195"/>
    <w:rsid w:val="00AD5621"/>
    <w:rsid w:val="00AE0090"/>
    <w:rsid w:val="00AE08B4"/>
    <w:rsid w:val="00AE3DF4"/>
    <w:rsid w:val="00AF1B72"/>
    <w:rsid w:val="00B16CE1"/>
    <w:rsid w:val="00B2190C"/>
    <w:rsid w:val="00B21F85"/>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16B3"/>
    <w:rsid w:val="00E23F1E"/>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1657"/>
    <w:rsid w:val="00EB2D01"/>
    <w:rsid w:val="00EB7AAD"/>
    <w:rsid w:val="00EC6B7E"/>
    <w:rsid w:val="00EF21BF"/>
    <w:rsid w:val="00EF3EA6"/>
    <w:rsid w:val="00EF6FDF"/>
    <w:rsid w:val="00F01271"/>
    <w:rsid w:val="00F1169F"/>
    <w:rsid w:val="00F1403B"/>
    <w:rsid w:val="00F26CE5"/>
    <w:rsid w:val="00F30EE8"/>
    <w:rsid w:val="00F41722"/>
    <w:rsid w:val="00F44EAA"/>
    <w:rsid w:val="00F665AF"/>
    <w:rsid w:val="00F72355"/>
    <w:rsid w:val="00F8373B"/>
    <w:rsid w:val="00FA6405"/>
    <w:rsid w:val="00FA79CE"/>
    <w:rsid w:val="00FB274F"/>
    <w:rsid w:val="00FC605B"/>
    <w:rsid w:val="00FD1FAD"/>
    <w:rsid w:val="00FE3088"/>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7201C-8AEC-4A2A-BE2D-C9E6A8214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35</Pages>
  <Words>6724</Words>
  <Characters>36987</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2018-09-03T16:21:00Z</cp:lastPrinted>
  <dcterms:created xsi:type="dcterms:W3CDTF">2019-01-10T22:09:00Z</dcterms:created>
  <dcterms:modified xsi:type="dcterms:W3CDTF">2019-01-14T16:44:00Z</dcterms:modified>
</cp:coreProperties>
</file>